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8FDEA" w14:textId="3D8F0504" w:rsidR="00BE44E2" w:rsidRPr="00FF5924" w:rsidRDefault="00BE44E2" w:rsidP="00FF5924">
      <w:pPr>
        <w:spacing w:line="360" w:lineRule="auto"/>
        <w:jc w:val="both"/>
        <w:rPr>
          <w:rFonts w:ascii="Garamond" w:hAnsi="Garamond"/>
          <w:lang w:val="en-US"/>
        </w:rPr>
      </w:pPr>
      <w:r w:rsidRPr="00FF5924">
        <w:rPr>
          <w:rFonts w:ascii="Garamond" w:hAnsi="Garamond"/>
          <w:lang w:val="en-US"/>
        </w:rPr>
        <w:t>Table 1. Main characteristic of study included</w:t>
      </w:r>
      <w:r w:rsidR="00FF5924">
        <w:rPr>
          <w:rFonts w:ascii="Garamond" w:hAnsi="Garamond"/>
          <w:lang w:val="en-US"/>
        </w:rPr>
        <w:t>.</w:t>
      </w:r>
      <w:r w:rsidR="00CD021B">
        <w:rPr>
          <w:rFonts w:ascii="Garamond" w:hAnsi="Garamond"/>
          <w:lang w:val="en-US"/>
        </w:rPr>
        <w:t xml:space="preserve"> </w:t>
      </w:r>
    </w:p>
    <w:p w14:paraId="0D01F7AA" w14:textId="77777777" w:rsidR="00BE44E2" w:rsidRPr="00FF5924" w:rsidRDefault="00BE44E2" w:rsidP="00FF5924">
      <w:pPr>
        <w:spacing w:line="360" w:lineRule="auto"/>
        <w:jc w:val="both"/>
        <w:rPr>
          <w:rFonts w:ascii="Garamond" w:hAnsi="Garamond"/>
          <w:sz w:val="20"/>
          <w:szCs w:val="20"/>
          <w:lang w:val="en-US"/>
        </w:rPr>
      </w:pPr>
    </w:p>
    <w:tbl>
      <w:tblPr>
        <w:tblStyle w:val="TableGrid"/>
        <w:tblW w:w="14155" w:type="dxa"/>
        <w:tblLook w:val="04A0" w:firstRow="1" w:lastRow="0" w:firstColumn="1" w:lastColumn="0" w:noHBand="0" w:noVBand="1"/>
      </w:tblPr>
      <w:tblGrid>
        <w:gridCol w:w="1129"/>
        <w:gridCol w:w="1604"/>
        <w:gridCol w:w="1229"/>
        <w:gridCol w:w="3276"/>
        <w:gridCol w:w="1827"/>
        <w:gridCol w:w="4111"/>
        <w:gridCol w:w="979"/>
      </w:tblGrid>
      <w:tr w:rsidR="004511E2" w:rsidRPr="00CD021B" w14:paraId="4B50269B" w14:textId="5A9A8E1B" w:rsidTr="00A568F6">
        <w:trPr>
          <w:trHeight w:val="1517"/>
        </w:trPr>
        <w:tc>
          <w:tcPr>
            <w:tcW w:w="1129" w:type="dxa"/>
            <w:noWrap/>
            <w:hideMark/>
          </w:tcPr>
          <w:p w14:paraId="1F86FFC3" w14:textId="77777777" w:rsidR="004511E2" w:rsidRPr="00CD021B" w:rsidRDefault="004511E2" w:rsidP="003D3608">
            <w:pPr>
              <w:spacing w:line="360" w:lineRule="auto"/>
              <w:rPr>
                <w:rFonts w:ascii="Garamond" w:hAnsi="Garamond"/>
                <w:b/>
                <w:bCs/>
                <w:color w:val="000000"/>
                <w:lang w:val="en-US"/>
              </w:rPr>
            </w:pPr>
            <w:r w:rsidRPr="00CD021B">
              <w:rPr>
                <w:rFonts w:ascii="Garamond" w:hAnsi="Garamond"/>
                <w:b/>
                <w:bCs/>
                <w:color w:val="000000"/>
                <w:lang w:val="en-US"/>
              </w:rPr>
              <w:t>Authors</w:t>
            </w:r>
          </w:p>
        </w:tc>
        <w:tc>
          <w:tcPr>
            <w:tcW w:w="1604" w:type="dxa"/>
          </w:tcPr>
          <w:p w14:paraId="17574E49" w14:textId="048B800B" w:rsidR="004511E2" w:rsidRPr="00CD021B" w:rsidRDefault="004511E2" w:rsidP="003D3608">
            <w:pPr>
              <w:spacing w:line="360" w:lineRule="auto"/>
              <w:rPr>
                <w:rFonts w:ascii="Garamond" w:hAnsi="Garamond"/>
                <w:b/>
                <w:bCs/>
                <w:color w:val="000000"/>
                <w:lang w:val="en-US"/>
              </w:rPr>
            </w:pPr>
            <w:r>
              <w:rPr>
                <w:rFonts w:ascii="Garamond" w:hAnsi="Garamond"/>
                <w:b/>
                <w:bCs/>
                <w:color w:val="000000"/>
                <w:lang w:val="en-US"/>
              </w:rPr>
              <w:t>Country</w:t>
            </w:r>
          </w:p>
        </w:tc>
        <w:tc>
          <w:tcPr>
            <w:tcW w:w="1229" w:type="dxa"/>
            <w:noWrap/>
            <w:hideMark/>
          </w:tcPr>
          <w:p w14:paraId="635711A6" w14:textId="03D1813A" w:rsidR="004511E2" w:rsidRPr="00CD021B" w:rsidRDefault="004511E2" w:rsidP="003D3608">
            <w:pPr>
              <w:spacing w:line="360" w:lineRule="auto"/>
              <w:rPr>
                <w:rFonts w:ascii="Garamond" w:hAnsi="Garamond"/>
                <w:b/>
                <w:bCs/>
                <w:color w:val="000000"/>
                <w:lang w:val="en-US"/>
              </w:rPr>
            </w:pPr>
            <w:r w:rsidRPr="00CD021B">
              <w:rPr>
                <w:rFonts w:ascii="Garamond" w:hAnsi="Garamond"/>
                <w:b/>
                <w:bCs/>
                <w:color w:val="000000"/>
                <w:lang w:val="en-US"/>
              </w:rPr>
              <w:t>Sample</w:t>
            </w:r>
          </w:p>
        </w:tc>
        <w:tc>
          <w:tcPr>
            <w:tcW w:w="3276" w:type="dxa"/>
            <w:noWrap/>
            <w:hideMark/>
          </w:tcPr>
          <w:p w14:paraId="1E4D0471" w14:textId="77777777" w:rsidR="004511E2" w:rsidRPr="00CD021B" w:rsidRDefault="004511E2" w:rsidP="003D3608">
            <w:pPr>
              <w:spacing w:line="360" w:lineRule="auto"/>
              <w:rPr>
                <w:rFonts w:ascii="Garamond" w:hAnsi="Garamond"/>
                <w:b/>
                <w:bCs/>
                <w:color w:val="000000"/>
                <w:lang w:val="en-US"/>
              </w:rPr>
            </w:pPr>
            <w:r w:rsidRPr="00CD021B">
              <w:rPr>
                <w:rFonts w:ascii="Garamond" w:hAnsi="Garamond"/>
                <w:b/>
                <w:bCs/>
                <w:color w:val="000000"/>
                <w:lang w:val="en-US"/>
              </w:rPr>
              <w:t>Aim</w:t>
            </w:r>
          </w:p>
        </w:tc>
        <w:tc>
          <w:tcPr>
            <w:tcW w:w="1827" w:type="dxa"/>
            <w:noWrap/>
            <w:hideMark/>
          </w:tcPr>
          <w:p w14:paraId="0BB0358D" w14:textId="77777777" w:rsidR="004511E2" w:rsidRPr="00CD021B" w:rsidRDefault="004511E2" w:rsidP="003D3608">
            <w:pPr>
              <w:spacing w:line="360" w:lineRule="auto"/>
              <w:rPr>
                <w:rFonts w:ascii="Garamond" w:hAnsi="Garamond"/>
                <w:b/>
                <w:bCs/>
                <w:color w:val="000000"/>
                <w:lang w:val="en-US"/>
              </w:rPr>
            </w:pPr>
            <w:r w:rsidRPr="00CD021B">
              <w:rPr>
                <w:rFonts w:ascii="Garamond" w:hAnsi="Garamond"/>
                <w:b/>
                <w:bCs/>
                <w:color w:val="000000"/>
                <w:lang w:val="en-US"/>
              </w:rPr>
              <w:t>Methods</w:t>
            </w:r>
          </w:p>
        </w:tc>
        <w:tc>
          <w:tcPr>
            <w:tcW w:w="4111" w:type="dxa"/>
            <w:noWrap/>
            <w:hideMark/>
          </w:tcPr>
          <w:p w14:paraId="0203152E" w14:textId="77777777" w:rsidR="004511E2" w:rsidRPr="00CD021B" w:rsidRDefault="004511E2" w:rsidP="003D3608">
            <w:pPr>
              <w:spacing w:line="360" w:lineRule="auto"/>
              <w:rPr>
                <w:rFonts w:ascii="Garamond" w:hAnsi="Garamond"/>
                <w:b/>
                <w:bCs/>
                <w:color w:val="000000"/>
                <w:lang w:val="en-US"/>
              </w:rPr>
            </w:pPr>
            <w:r w:rsidRPr="00CD021B">
              <w:rPr>
                <w:rFonts w:ascii="Garamond" w:hAnsi="Garamond"/>
                <w:b/>
                <w:bCs/>
                <w:color w:val="000000"/>
                <w:lang w:val="en-US"/>
              </w:rPr>
              <w:t>Results</w:t>
            </w:r>
          </w:p>
        </w:tc>
        <w:tc>
          <w:tcPr>
            <w:tcW w:w="979" w:type="dxa"/>
          </w:tcPr>
          <w:p w14:paraId="4CBE6640" w14:textId="77777777" w:rsidR="00C23774" w:rsidRPr="00C23774" w:rsidRDefault="00C23774" w:rsidP="003D3608">
            <w:pPr>
              <w:spacing w:line="360" w:lineRule="auto"/>
              <w:rPr>
                <w:rFonts w:ascii="Garamond" w:hAnsi="Garamond"/>
                <w:b/>
                <w:bCs/>
                <w:color w:val="000000"/>
                <w:lang w:val="en-US"/>
              </w:rPr>
            </w:pPr>
            <w:r w:rsidRPr="00C23774">
              <w:rPr>
                <w:rFonts w:ascii="Garamond" w:hAnsi="Garamond"/>
                <w:b/>
                <w:bCs/>
                <w:color w:val="000000"/>
                <w:lang w:val="en-US"/>
              </w:rPr>
              <w:t>Quality of</w:t>
            </w:r>
            <w:r w:rsidRPr="00C23774">
              <w:rPr>
                <w:rFonts w:ascii="Garamond" w:hAnsi="Garamond"/>
                <w:b/>
                <w:bCs/>
                <w:color w:val="000000"/>
                <w:lang w:val="en-US"/>
              </w:rPr>
              <w:br/>
              <w:t>Studies Using</w:t>
            </w:r>
            <w:r w:rsidRPr="00C23774">
              <w:rPr>
                <w:rFonts w:ascii="Garamond" w:hAnsi="Garamond"/>
                <w:b/>
                <w:bCs/>
                <w:color w:val="000000"/>
                <w:lang w:val="en-US"/>
              </w:rPr>
              <w:br/>
              <w:t>MMAT</w:t>
            </w:r>
          </w:p>
          <w:p w14:paraId="764A950C" w14:textId="0D1DD699" w:rsidR="004511E2" w:rsidRPr="00CD021B" w:rsidRDefault="004511E2" w:rsidP="003D3608">
            <w:pPr>
              <w:spacing w:line="360" w:lineRule="auto"/>
              <w:rPr>
                <w:rFonts w:ascii="Garamond" w:hAnsi="Garamond"/>
                <w:b/>
                <w:bCs/>
                <w:color w:val="000000"/>
                <w:lang w:val="en-US"/>
              </w:rPr>
            </w:pPr>
          </w:p>
        </w:tc>
      </w:tr>
      <w:tr w:rsidR="004511E2" w:rsidRPr="00CD021B" w14:paraId="1080B852" w14:textId="2644D523" w:rsidTr="00A568F6">
        <w:trPr>
          <w:trHeight w:val="460"/>
        </w:trPr>
        <w:tc>
          <w:tcPr>
            <w:tcW w:w="1129" w:type="dxa"/>
            <w:noWrap/>
            <w:hideMark/>
          </w:tcPr>
          <w:p w14:paraId="5CE5D82F" w14:textId="01F8699B" w:rsidR="004511E2" w:rsidRPr="00CD021B" w:rsidRDefault="004511E2" w:rsidP="00FF5924">
            <w:pPr>
              <w:spacing w:line="360" w:lineRule="auto"/>
              <w:jc w:val="both"/>
              <w:rPr>
                <w:rFonts w:ascii="Garamond" w:hAnsi="Garamond"/>
                <w:color w:val="000000"/>
                <w:lang w:val="en-US"/>
              </w:rPr>
            </w:pPr>
            <w:proofErr w:type="spellStart"/>
            <w:r w:rsidRPr="00CD021B">
              <w:rPr>
                <w:rFonts w:ascii="Garamond" w:hAnsi="Garamond"/>
                <w:color w:val="000000"/>
                <w:lang w:val="en-US"/>
              </w:rPr>
              <w:t>Jesser</w:t>
            </w:r>
            <w:proofErr w:type="spellEnd"/>
            <w:r w:rsidRPr="00CD021B">
              <w:rPr>
                <w:rFonts w:ascii="Garamond" w:hAnsi="Garamond"/>
                <w:color w:val="000000"/>
                <w:lang w:val="en-US"/>
              </w:rPr>
              <w:t xml:space="preserve"> et al. (2021)</w:t>
            </w:r>
          </w:p>
        </w:tc>
        <w:tc>
          <w:tcPr>
            <w:tcW w:w="1604" w:type="dxa"/>
          </w:tcPr>
          <w:p w14:paraId="72F1B135" w14:textId="60BA207D" w:rsidR="004511E2" w:rsidRPr="00CD021B" w:rsidRDefault="004511E2" w:rsidP="00FF5924">
            <w:pPr>
              <w:spacing w:line="360" w:lineRule="auto"/>
              <w:jc w:val="both"/>
              <w:rPr>
                <w:rFonts w:ascii="Garamond" w:hAnsi="Garamond"/>
                <w:color w:val="000000"/>
                <w:lang w:val="en-US"/>
              </w:rPr>
            </w:pPr>
            <w:r>
              <w:rPr>
                <w:rFonts w:ascii="Garamond" w:hAnsi="Garamond"/>
                <w:color w:val="000000"/>
                <w:lang w:val="en-US"/>
              </w:rPr>
              <w:t>Austria</w:t>
            </w:r>
          </w:p>
        </w:tc>
        <w:tc>
          <w:tcPr>
            <w:tcW w:w="1229" w:type="dxa"/>
            <w:noWrap/>
            <w:hideMark/>
          </w:tcPr>
          <w:p w14:paraId="3513F828" w14:textId="77777777" w:rsidR="004511E2" w:rsidRDefault="004511E2" w:rsidP="00FF5924">
            <w:pPr>
              <w:spacing w:line="360" w:lineRule="auto"/>
              <w:jc w:val="both"/>
              <w:rPr>
                <w:rFonts w:ascii="Garamond" w:hAnsi="Garamond"/>
                <w:color w:val="000000"/>
                <w:lang w:val="en-US"/>
              </w:rPr>
            </w:pPr>
            <w:r w:rsidRPr="00CD021B">
              <w:rPr>
                <w:rFonts w:ascii="Garamond" w:hAnsi="Garamond"/>
                <w:color w:val="000000"/>
                <w:lang w:val="en-US"/>
              </w:rPr>
              <w:t>161 therapists</w:t>
            </w:r>
          </w:p>
          <w:p w14:paraId="2F809F8D" w14:textId="6F99FADE" w:rsidR="00C23774" w:rsidRPr="00CD021B" w:rsidRDefault="00C23774" w:rsidP="00FF5924">
            <w:pPr>
              <w:spacing w:line="360" w:lineRule="auto"/>
              <w:jc w:val="both"/>
              <w:rPr>
                <w:rFonts w:ascii="Garamond" w:hAnsi="Garamond"/>
                <w:color w:val="000000"/>
                <w:lang w:val="en-US"/>
              </w:rPr>
            </w:pPr>
            <w:r>
              <w:rPr>
                <w:rFonts w:ascii="Garamond" w:hAnsi="Garamond"/>
                <w:color w:val="000000"/>
                <w:lang w:val="en-US"/>
              </w:rPr>
              <w:t>(131 females; 28 males</w:t>
            </w:r>
            <w:r w:rsidR="004E7C39">
              <w:rPr>
                <w:rFonts w:ascii="Garamond" w:hAnsi="Garamond"/>
                <w:color w:val="000000"/>
                <w:lang w:val="en-US"/>
              </w:rPr>
              <w:t>; 2 others</w:t>
            </w:r>
            <w:r>
              <w:rPr>
                <w:rFonts w:ascii="Garamond" w:hAnsi="Garamond"/>
                <w:color w:val="000000"/>
                <w:lang w:val="en-US"/>
              </w:rPr>
              <w:t>)</w:t>
            </w:r>
          </w:p>
        </w:tc>
        <w:tc>
          <w:tcPr>
            <w:tcW w:w="3276" w:type="dxa"/>
            <w:noWrap/>
            <w:hideMark/>
          </w:tcPr>
          <w:p w14:paraId="7475A7E1" w14:textId="291B07FF"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Investigate the therapists' experience of online therapy following the COVID-19 spread.</w:t>
            </w:r>
          </w:p>
        </w:tc>
        <w:tc>
          <w:tcPr>
            <w:tcW w:w="1827" w:type="dxa"/>
            <w:noWrap/>
            <w:hideMark/>
          </w:tcPr>
          <w:p w14:paraId="60B663C3"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 xml:space="preserve">Quantitative analysis – </w:t>
            </w:r>
          </w:p>
          <w:p w14:paraId="501E27F3"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Online survey</w:t>
            </w:r>
          </w:p>
        </w:tc>
        <w:tc>
          <w:tcPr>
            <w:tcW w:w="4111" w:type="dxa"/>
            <w:noWrap/>
            <w:hideMark/>
          </w:tcPr>
          <w:p w14:paraId="2FEF75A3"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 xml:space="preserve">Many therapists are in favor of online therapy. Others prefer to see patients in person. The strongest changes were experienced with regard to transference/countertransference, the therapeutic process and the intensity of session. </w:t>
            </w:r>
          </w:p>
        </w:tc>
        <w:tc>
          <w:tcPr>
            <w:tcW w:w="979" w:type="dxa"/>
          </w:tcPr>
          <w:p w14:paraId="39B16938" w14:textId="0E1793D6" w:rsidR="00C23774" w:rsidRPr="00831C9F" w:rsidRDefault="00C23774" w:rsidP="00FF5924">
            <w:pPr>
              <w:spacing w:line="360" w:lineRule="auto"/>
              <w:jc w:val="both"/>
              <w:rPr>
                <w:rFonts w:ascii="Garamond" w:hAnsi="Garamond"/>
                <w:color w:val="000000"/>
                <w:lang w:val="en-US"/>
              </w:rPr>
            </w:pPr>
            <w:r w:rsidRPr="00831C9F">
              <w:rPr>
                <w:rFonts w:ascii="Garamond" w:hAnsi="Garamond"/>
                <w:color w:val="000000"/>
                <w:lang w:val="en-US"/>
              </w:rPr>
              <w:t>*</w:t>
            </w:r>
            <w:r w:rsidR="00831C9F">
              <w:rPr>
                <w:rFonts w:ascii="Garamond" w:hAnsi="Garamond"/>
                <w:color w:val="000000"/>
                <w:lang w:val="en-US"/>
              </w:rPr>
              <w:t>*</w:t>
            </w:r>
          </w:p>
        </w:tc>
      </w:tr>
      <w:tr w:rsidR="004511E2" w:rsidRPr="00CD021B" w14:paraId="47BF926C" w14:textId="661E6A73" w:rsidTr="00A568F6">
        <w:trPr>
          <w:trHeight w:val="460"/>
        </w:trPr>
        <w:tc>
          <w:tcPr>
            <w:tcW w:w="1129" w:type="dxa"/>
            <w:noWrap/>
            <w:hideMark/>
          </w:tcPr>
          <w:p w14:paraId="352BEDEB"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Gordon et al. (2021a)</w:t>
            </w:r>
          </w:p>
        </w:tc>
        <w:tc>
          <w:tcPr>
            <w:tcW w:w="1604" w:type="dxa"/>
          </w:tcPr>
          <w:p w14:paraId="483F2AE0" w14:textId="6B6B895C" w:rsidR="004511E2" w:rsidRPr="00CD021B" w:rsidRDefault="00DF04E8" w:rsidP="00FF5924">
            <w:pPr>
              <w:spacing w:line="360" w:lineRule="auto"/>
              <w:jc w:val="both"/>
              <w:rPr>
                <w:rFonts w:ascii="Garamond" w:hAnsi="Garamond"/>
                <w:color w:val="000000"/>
                <w:lang w:val="en-US"/>
              </w:rPr>
            </w:pPr>
            <w:r>
              <w:rPr>
                <w:rFonts w:ascii="Garamond" w:hAnsi="Garamond"/>
                <w:color w:val="000000"/>
                <w:lang w:val="en-US"/>
              </w:rPr>
              <w:t xml:space="preserve">Survey conducted in </w:t>
            </w:r>
            <w:r w:rsidRPr="00DF04E8">
              <w:rPr>
                <w:rFonts w:ascii="Garamond" w:hAnsi="Garamond"/>
                <w:color w:val="000000"/>
                <w:lang w:val="en-US"/>
              </w:rPr>
              <w:t>56 countries</w:t>
            </w:r>
            <w:r>
              <w:rPr>
                <w:rFonts w:ascii="Garamond" w:hAnsi="Garamond"/>
                <w:color w:val="000000"/>
                <w:lang w:val="en-US"/>
              </w:rPr>
              <w:t>:</w:t>
            </w:r>
            <w:r w:rsidRPr="00DF04E8">
              <w:rPr>
                <w:rFonts w:ascii="Garamond" w:hAnsi="Garamond"/>
                <w:color w:val="000000"/>
                <w:lang w:val="en-US"/>
              </w:rPr>
              <w:t xml:space="preserve"> United States (59%), China (11%), Europe (8%), United </w:t>
            </w:r>
            <w:r w:rsidRPr="00DF04E8">
              <w:rPr>
                <w:rFonts w:ascii="Garamond" w:hAnsi="Garamond"/>
                <w:color w:val="000000"/>
                <w:lang w:val="en-US"/>
              </w:rPr>
              <w:lastRenderedPageBreak/>
              <w:t>Kingdom (4%), Latin America (4%), Canada (3%), Australia/New Zealand region (2%), Indian Subcontinent (1%), South Africa (1%) and Other (7%).</w:t>
            </w:r>
          </w:p>
        </w:tc>
        <w:tc>
          <w:tcPr>
            <w:tcW w:w="1229" w:type="dxa"/>
            <w:noWrap/>
            <w:hideMark/>
          </w:tcPr>
          <w:p w14:paraId="3B85CBDA" w14:textId="77777777" w:rsidR="004511E2" w:rsidRDefault="004511E2" w:rsidP="00FF5924">
            <w:pPr>
              <w:spacing w:line="360" w:lineRule="auto"/>
              <w:jc w:val="both"/>
              <w:rPr>
                <w:rFonts w:ascii="Garamond" w:hAnsi="Garamond"/>
                <w:color w:val="000000"/>
                <w:lang w:val="en-US"/>
              </w:rPr>
            </w:pPr>
            <w:r w:rsidRPr="00CD021B">
              <w:rPr>
                <w:rFonts w:ascii="Garamond" w:hAnsi="Garamond"/>
                <w:color w:val="000000"/>
                <w:lang w:val="en-US"/>
              </w:rPr>
              <w:lastRenderedPageBreak/>
              <w:t>1490 therapists</w:t>
            </w:r>
          </w:p>
          <w:p w14:paraId="1BEC494C" w14:textId="518BD9E3" w:rsidR="00DF04E8" w:rsidRPr="00CD021B" w:rsidRDefault="00DF04E8" w:rsidP="00FF5924">
            <w:pPr>
              <w:spacing w:line="360" w:lineRule="auto"/>
              <w:jc w:val="both"/>
              <w:rPr>
                <w:rFonts w:ascii="Garamond" w:hAnsi="Garamond"/>
                <w:color w:val="000000"/>
                <w:lang w:val="en-US"/>
              </w:rPr>
            </w:pPr>
            <w:r>
              <w:rPr>
                <w:rFonts w:ascii="Garamond" w:hAnsi="Garamond"/>
                <w:color w:val="000000"/>
                <w:lang w:val="en-US"/>
              </w:rPr>
              <w:t xml:space="preserve">(1013 females; 462 males; 15 NA*) </w:t>
            </w:r>
          </w:p>
        </w:tc>
        <w:tc>
          <w:tcPr>
            <w:tcW w:w="3276" w:type="dxa"/>
            <w:noWrap/>
            <w:hideMark/>
          </w:tcPr>
          <w:p w14:paraId="52C498CA"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Understanding how therapists experience online sessions and what factors are the most important for the effectiveness of psychodynamic treatment.</w:t>
            </w:r>
          </w:p>
        </w:tc>
        <w:tc>
          <w:tcPr>
            <w:tcW w:w="1827" w:type="dxa"/>
            <w:noWrap/>
            <w:hideMark/>
          </w:tcPr>
          <w:p w14:paraId="5B264F5A"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 xml:space="preserve">Quantitative analysis – </w:t>
            </w:r>
          </w:p>
          <w:p w14:paraId="67BF24F5"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Online survey</w:t>
            </w:r>
          </w:p>
        </w:tc>
        <w:tc>
          <w:tcPr>
            <w:tcW w:w="4111" w:type="dxa"/>
            <w:noWrap/>
            <w:hideMark/>
          </w:tcPr>
          <w:p w14:paraId="2AF9AF1C" w14:textId="77777777" w:rsidR="004511E2" w:rsidRPr="00CD021B" w:rsidRDefault="004511E2" w:rsidP="00FF5924">
            <w:pPr>
              <w:spacing w:line="360" w:lineRule="auto"/>
              <w:jc w:val="both"/>
              <w:rPr>
                <w:rFonts w:ascii="Garamond" w:hAnsi="Garamond"/>
                <w:color w:val="000000"/>
                <w:lang w:val="en-US"/>
              </w:rPr>
            </w:pPr>
            <w:r w:rsidRPr="00CD021B">
              <w:rPr>
                <w:rFonts w:ascii="Garamond" w:hAnsi="Garamond"/>
                <w:color w:val="000000"/>
                <w:lang w:val="en-US"/>
              </w:rPr>
              <w:t xml:space="preserve">Psychodynamic practitioners worldwide confirmed that it is the empathy, warmth, wisdom, and skillfulness of the therapist, and the motivation, insightfulness and level of functioning of the patient that is most important to treatment effectiveness </w:t>
            </w:r>
            <w:r w:rsidRPr="00CD021B">
              <w:rPr>
                <w:rFonts w:ascii="Garamond" w:hAnsi="Garamond"/>
                <w:color w:val="000000"/>
                <w:lang w:val="en-US"/>
              </w:rPr>
              <w:lastRenderedPageBreak/>
              <w:t>regardless of the treatment is remote or embodied.</w:t>
            </w:r>
          </w:p>
        </w:tc>
        <w:tc>
          <w:tcPr>
            <w:tcW w:w="979" w:type="dxa"/>
          </w:tcPr>
          <w:p w14:paraId="37E6A734" w14:textId="55727D84" w:rsidR="004511E2" w:rsidRPr="00CD021B" w:rsidRDefault="00ED4BEE" w:rsidP="00FF5924">
            <w:pPr>
              <w:spacing w:line="360" w:lineRule="auto"/>
              <w:jc w:val="both"/>
              <w:rPr>
                <w:rFonts w:ascii="Garamond" w:hAnsi="Garamond"/>
                <w:color w:val="000000"/>
                <w:lang w:val="en-US"/>
              </w:rPr>
            </w:pPr>
            <w:r>
              <w:rPr>
                <w:rFonts w:ascii="Garamond" w:hAnsi="Garamond"/>
                <w:color w:val="000000"/>
                <w:lang w:val="en-US"/>
              </w:rPr>
              <w:lastRenderedPageBreak/>
              <w:t>*</w:t>
            </w:r>
          </w:p>
        </w:tc>
      </w:tr>
      <w:tr w:rsidR="00A568F6" w:rsidRPr="00CD021B" w14:paraId="6718CF7A" w14:textId="26A93F2C" w:rsidTr="00A568F6">
        <w:trPr>
          <w:trHeight w:val="460"/>
        </w:trPr>
        <w:tc>
          <w:tcPr>
            <w:tcW w:w="1129" w:type="dxa"/>
            <w:noWrap/>
            <w:hideMark/>
          </w:tcPr>
          <w:p w14:paraId="1B611D7E"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Gordon et al. (2021b)</w:t>
            </w:r>
          </w:p>
        </w:tc>
        <w:tc>
          <w:tcPr>
            <w:tcW w:w="1604" w:type="dxa"/>
          </w:tcPr>
          <w:p w14:paraId="0EAA9CF6" w14:textId="5421B37A"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t xml:space="preserve">Survey conducted in </w:t>
            </w:r>
            <w:r w:rsidRPr="00DF04E8">
              <w:rPr>
                <w:rFonts w:ascii="Garamond" w:hAnsi="Garamond"/>
                <w:color w:val="000000"/>
                <w:lang w:val="en-US"/>
              </w:rPr>
              <w:t>56 countries</w:t>
            </w:r>
            <w:r>
              <w:rPr>
                <w:rFonts w:ascii="Garamond" w:hAnsi="Garamond"/>
                <w:color w:val="000000"/>
                <w:lang w:val="en-US"/>
              </w:rPr>
              <w:t>:</w:t>
            </w:r>
            <w:r w:rsidRPr="00DF04E8">
              <w:rPr>
                <w:rFonts w:ascii="Garamond" w:hAnsi="Garamond"/>
                <w:color w:val="000000"/>
                <w:lang w:val="en-US"/>
              </w:rPr>
              <w:t xml:space="preserve"> United States (59%), China (11%), Europe (8%), United Kingdom (4%), Latin America (4%), </w:t>
            </w:r>
            <w:r w:rsidRPr="00DF04E8">
              <w:rPr>
                <w:rFonts w:ascii="Garamond" w:hAnsi="Garamond"/>
                <w:color w:val="000000"/>
                <w:lang w:val="en-US"/>
              </w:rPr>
              <w:lastRenderedPageBreak/>
              <w:t>Canada (3%), Australia/New Zealand region (2%), Indian Subcontinent (1%), South Africa (1%) and Other (7%).</w:t>
            </w:r>
          </w:p>
        </w:tc>
        <w:tc>
          <w:tcPr>
            <w:tcW w:w="1229" w:type="dxa"/>
            <w:noWrap/>
            <w:hideMark/>
          </w:tcPr>
          <w:p w14:paraId="0BA043A7" w14:textId="77777777" w:rsidR="00A568F6" w:rsidRDefault="00A568F6" w:rsidP="00A568F6">
            <w:pPr>
              <w:spacing w:line="360" w:lineRule="auto"/>
              <w:jc w:val="both"/>
              <w:rPr>
                <w:rFonts w:ascii="Garamond" w:hAnsi="Garamond"/>
                <w:color w:val="000000"/>
                <w:lang w:val="en-US"/>
              </w:rPr>
            </w:pPr>
            <w:r w:rsidRPr="00CD021B">
              <w:rPr>
                <w:rFonts w:ascii="Garamond" w:hAnsi="Garamond"/>
                <w:color w:val="000000"/>
                <w:lang w:val="en-US"/>
              </w:rPr>
              <w:lastRenderedPageBreak/>
              <w:t>1490 therapists</w:t>
            </w:r>
          </w:p>
          <w:p w14:paraId="7A8A0C97" w14:textId="2D575D3A"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t>(1013 females; 462 males; 15 NA*)</w:t>
            </w:r>
          </w:p>
        </w:tc>
        <w:tc>
          <w:tcPr>
            <w:tcW w:w="3276" w:type="dxa"/>
            <w:noWrap/>
            <w:hideMark/>
          </w:tcPr>
          <w:p w14:paraId="1D11FF29"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Better understand the aspects considered positive and negative by therapists compared to tele-therapy.</w:t>
            </w:r>
          </w:p>
        </w:tc>
        <w:tc>
          <w:tcPr>
            <w:tcW w:w="1827" w:type="dxa"/>
            <w:noWrap/>
            <w:hideMark/>
          </w:tcPr>
          <w:p w14:paraId="56767693"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 xml:space="preserve">Quantitative analysis – </w:t>
            </w:r>
          </w:p>
          <w:p w14:paraId="19AFC577"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Online survey</w:t>
            </w:r>
          </w:p>
        </w:tc>
        <w:tc>
          <w:tcPr>
            <w:tcW w:w="4111" w:type="dxa"/>
            <w:noWrap/>
            <w:hideMark/>
          </w:tcPr>
          <w:p w14:paraId="07371477"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The majority of respondents who have mainly positive opinions feel that they can work effectively with transference, resistance and relational problems in distance analytic treatment.</w:t>
            </w:r>
          </w:p>
        </w:tc>
        <w:tc>
          <w:tcPr>
            <w:tcW w:w="979" w:type="dxa"/>
          </w:tcPr>
          <w:p w14:paraId="45E94730" w14:textId="27251A66"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t>*</w:t>
            </w:r>
          </w:p>
        </w:tc>
      </w:tr>
      <w:tr w:rsidR="00A568F6" w:rsidRPr="00CD021B" w14:paraId="26E8D169" w14:textId="215CCBDD" w:rsidTr="00A568F6">
        <w:trPr>
          <w:trHeight w:val="460"/>
        </w:trPr>
        <w:tc>
          <w:tcPr>
            <w:tcW w:w="1129" w:type="dxa"/>
            <w:noWrap/>
            <w:hideMark/>
          </w:tcPr>
          <w:p w14:paraId="3DDC68A4"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Machado et al. (2021)</w:t>
            </w:r>
          </w:p>
        </w:tc>
        <w:tc>
          <w:tcPr>
            <w:tcW w:w="1604" w:type="dxa"/>
          </w:tcPr>
          <w:p w14:paraId="33D765D7" w14:textId="5A47AF99" w:rsidR="00A568F6" w:rsidRPr="00CD021B" w:rsidRDefault="00374B44" w:rsidP="00A568F6">
            <w:pPr>
              <w:spacing w:line="360" w:lineRule="auto"/>
              <w:jc w:val="both"/>
              <w:rPr>
                <w:rFonts w:ascii="Garamond" w:hAnsi="Garamond"/>
                <w:color w:val="000000"/>
                <w:lang w:val="en-US"/>
              </w:rPr>
            </w:pPr>
            <w:r>
              <w:rPr>
                <w:rFonts w:ascii="Garamond" w:hAnsi="Garamond"/>
                <w:color w:val="000000"/>
                <w:lang w:val="en-US"/>
              </w:rPr>
              <w:t>Brazil</w:t>
            </w:r>
          </w:p>
        </w:tc>
        <w:tc>
          <w:tcPr>
            <w:tcW w:w="1229" w:type="dxa"/>
            <w:noWrap/>
            <w:hideMark/>
          </w:tcPr>
          <w:p w14:paraId="68CD3AA3" w14:textId="0A4330AC"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8 therapists</w:t>
            </w:r>
            <w:r w:rsidR="00374B44">
              <w:rPr>
                <w:rFonts w:ascii="Garamond" w:hAnsi="Garamond"/>
                <w:color w:val="000000"/>
                <w:lang w:val="en-US"/>
              </w:rPr>
              <w:t xml:space="preserve"> (5 females; 3 males)</w:t>
            </w:r>
          </w:p>
        </w:tc>
        <w:tc>
          <w:tcPr>
            <w:tcW w:w="3276" w:type="dxa"/>
            <w:noWrap/>
            <w:hideMark/>
          </w:tcPr>
          <w:p w14:paraId="244F621F"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Explore how psychodynamic/psychoanalytical psychotherapists perceive their own practice in online settings, including technical and relational aspects of the therapeutic process, in comparison to their experience in face-to-face treatments.</w:t>
            </w:r>
          </w:p>
        </w:tc>
        <w:tc>
          <w:tcPr>
            <w:tcW w:w="1827" w:type="dxa"/>
            <w:noWrap/>
            <w:hideMark/>
          </w:tcPr>
          <w:p w14:paraId="1474101D"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Qualitative study with an exploratory approach</w:t>
            </w:r>
          </w:p>
        </w:tc>
        <w:tc>
          <w:tcPr>
            <w:tcW w:w="4111" w:type="dxa"/>
            <w:noWrap/>
            <w:hideMark/>
          </w:tcPr>
          <w:p w14:paraId="439ADBA3"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t>Online psychodynamic psychotherapy has many distinctive features (e.g. relying on the quality of internet connection, fostering focal process, occurring in a more vulnerable setting, and eliciting a different pattern of communication) that require adaptation from therapist</w:t>
            </w:r>
          </w:p>
        </w:tc>
        <w:tc>
          <w:tcPr>
            <w:tcW w:w="979" w:type="dxa"/>
          </w:tcPr>
          <w:p w14:paraId="0005A572" w14:textId="1702C079" w:rsidR="00A568F6" w:rsidRPr="00CD021B" w:rsidRDefault="00374B44" w:rsidP="00A568F6">
            <w:pPr>
              <w:spacing w:line="360" w:lineRule="auto"/>
              <w:jc w:val="both"/>
              <w:rPr>
                <w:rFonts w:ascii="Garamond" w:hAnsi="Garamond"/>
                <w:color w:val="000000"/>
                <w:lang w:val="en-US"/>
              </w:rPr>
            </w:pPr>
            <w:r>
              <w:rPr>
                <w:rFonts w:ascii="Garamond" w:hAnsi="Garamond"/>
                <w:color w:val="000000"/>
                <w:lang w:val="en-US"/>
              </w:rPr>
              <w:t>***</w:t>
            </w:r>
          </w:p>
        </w:tc>
      </w:tr>
      <w:tr w:rsidR="00A568F6" w:rsidRPr="00CD021B" w14:paraId="7C4C2D52" w14:textId="73A8B6D1" w:rsidTr="00A568F6">
        <w:trPr>
          <w:trHeight w:val="460"/>
        </w:trPr>
        <w:tc>
          <w:tcPr>
            <w:tcW w:w="1129" w:type="dxa"/>
            <w:noWrap/>
            <w:hideMark/>
          </w:tcPr>
          <w:p w14:paraId="4CB670C7" w14:textId="6206E4AF" w:rsidR="00A568F6" w:rsidRPr="00CD021B" w:rsidRDefault="00A568F6" w:rsidP="00A568F6">
            <w:pPr>
              <w:spacing w:line="360" w:lineRule="auto"/>
              <w:jc w:val="both"/>
              <w:rPr>
                <w:rFonts w:ascii="Garamond" w:hAnsi="Garamond"/>
                <w:color w:val="000000"/>
                <w:lang w:val="en-US"/>
              </w:rPr>
            </w:pPr>
            <w:proofErr w:type="spellStart"/>
            <w:r w:rsidRPr="00CD021B">
              <w:rPr>
                <w:rFonts w:ascii="Garamond" w:hAnsi="Garamond"/>
                <w:color w:val="000000"/>
                <w:lang w:val="en-US"/>
              </w:rPr>
              <w:t>Jesser</w:t>
            </w:r>
            <w:proofErr w:type="spellEnd"/>
            <w:r w:rsidRPr="00CD021B">
              <w:rPr>
                <w:rFonts w:ascii="Garamond" w:hAnsi="Garamond"/>
                <w:color w:val="000000"/>
                <w:lang w:val="en-US"/>
              </w:rPr>
              <w:t xml:space="preserve"> et al. (202</w:t>
            </w:r>
            <w:r>
              <w:rPr>
                <w:rFonts w:ascii="Garamond" w:hAnsi="Garamond"/>
                <w:color w:val="000000"/>
                <w:lang w:val="en-US"/>
              </w:rPr>
              <w:t>2</w:t>
            </w:r>
            <w:r w:rsidRPr="00CD021B">
              <w:rPr>
                <w:rFonts w:ascii="Garamond" w:hAnsi="Garamond"/>
                <w:color w:val="000000"/>
                <w:lang w:val="en-US"/>
              </w:rPr>
              <w:t>)</w:t>
            </w:r>
          </w:p>
        </w:tc>
        <w:tc>
          <w:tcPr>
            <w:tcW w:w="1604" w:type="dxa"/>
          </w:tcPr>
          <w:p w14:paraId="4007AC9D" w14:textId="2EFF2F81"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t>Austria</w:t>
            </w:r>
          </w:p>
        </w:tc>
        <w:tc>
          <w:tcPr>
            <w:tcW w:w="1229" w:type="dxa"/>
            <w:noWrap/>
            <w:hideMark/>
          </w:tcPr>
          <w:p w14:paraId="16D8A94D" w14:textId="77777777" w:rsidR="00A568F6" w:rsidRDefault="00A568F6" w:rsidP="00A568F6">
            <w:pPr>
              <w:spacing w:line="360" w:lineRule="auto"/>
              <w:jc w:val="both"/>
              <w:rPr>
                <w:rFonts w:ascii="Garamond" w:hAnsi="Garamond"/>
                <w:color w:val="000000"/>
                <w:lang w:val="en-US"/>
              </w:rPr>
            </w:pPr>
            <w:r w:rsidRPr="00CD021B">
              <w:rPr>
                <w:rFonts w:ascii="Garamond" w:hAnsi="Garamond"/>
                <w:color w:val="000000"/>
                <w:lang w:val="en-US"/>
              </w:rPr>
              <w:t>161 therapists</w:t>
            </w:r>
          </w:p>
          <w:p w14:paraId="4902ED4D" w14:textId="10E3B94E"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t xml:space="preserve">(131 females; </w:t>
            </w:r>
            <w:r>
              <w:rPr>
                <w:rFonts w:ascii="Garamond" w:hAnsi="Garamond"/>
                <w:color w:val="000000"/>
                <w:lang w:val="en-US"/>
              </w:rPr>
              <w:lastRenderedPageBreak/>
              <w:t>28 males; 2 others)</w:t>
            </w:r>
          </w:p>
        </w:tc>
        <w:tc>
          <w:tcPr>
            <w:tcW w:w="3276" w:type="dxa"/>
            <w:noWrap/>
            <w:hideMark/>
          </w:tcPr>
          <w:p w14:paraId="10568941"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lastRenderedPageBreak/>
              <w:t xml:space="preserve">This study focused on psychodynamic therapists and their subjective experiences with psychotherapy via telephone and </w:t>
            </w:r>
            <w:r w:rsidRPr="00CD021B">
              <w:rPr>
                <w:rFonts w:ascii="Garamond" w:hAnsi="Garamond"/>
                <w:color w:val="000000"/>
                <w:lang w:val="en-US"/>
              </w:rPr>
              <w:lastRenderedPageBreak/>
              <w:t>videoconferencing during the first COVID-19 related lockdown period in March 2020 in Austria.</w:t>
            </w:r>
          </w:p>
        </w:tc>
        <w:tc>
          <w:tcPr>
            <w:tcW w:w="1827" w:type="dxa"/>
            <w:noWrap/>
            <w:hideMark/>
          </w:tcPr>
          <w:p w14:paraId="3CFD4775" w14:textId="3CD99365" w:rsidR="00A568F6" w:rsidRPr="00CD021B" w:rsidRDefault="00A568F6" w:rsidP="00A568F6">
            <w:pPr>
              <w:spacing w:line="360" w:lineRule="auto"/>
              <w:jc w:val="both"/>
              <w:rPr>
                <w:rFonts w:ascii="Garamond" w:hAnsi="Garamond"/>
                <w:color w:val="000000"/>
                <w:lang w:val="en-US"/>
              </w:rPr>
            </w:pPr>
            <w:proofErr w:type="spellStart"/>
            <w:r w:rsidRPr="00CD021B">
              <w:rPr>
                <w:rFonts w:ascii="Garamond" w:hAnsi="Garamond"/>
                <w:color w:val="000000"/>
                <w:lang w:val="en-US"/>
              </w:rPr>
              <w:lastRenderedPageBreak/>
              <w:t>Qua</w:t>
            </w:r>
            <w:r>
              <w:rPr>
                <w:rFonts w:ascii="Garamond" w:hAnsi="Garamond"/>
                <w:color w:val="000000"/>
                <w:lang w:val="en-US"/>
              </w:rPr>
              <w:t>li</w:t>
            </w:r>
            <w:r w:rsidRPr="00CD021B">
              <w:rPr>
                <w:rFonts w:ascii="Garamond" w:hAnsi="Garamond"/>
                <w:color w:val="000000"/>
                <w:lang w:val="en-US"/>
              </w:rPr>
              <w:t>tative analysis</w:t>
            </w:r>
            <w:proofErr w:type="spellEnd"/>
            <w:r w:rsidRPr="00CD021B">
              <w:rPr>
                <w:rFonts w:ascii="Garamond" w:hAnsi="Garamond"/>
                <w:color w:val="000000"/>
                <w:lang w:val="en-US"/>
              </w:rPr>
              <w:t xml:space="preserve"> – </w:t>
            </w:r>
          </w:p>
          <w:p w14:paraId="62DC33C4" w14:textId="694EEAB1" w:rsidR="00A568F6" w:rsidRPr="00CD021B" w:rsidRDefault="00A568F6" w:rsidP="00A568F6">
            <w:pPr>
              <w:spacing w:line="360" w:lineRule="auto"/>
              <w:jc w:val="both"/>
              <w:rPr>
                <w:rFonts w:ascii="Garamond" w:hAnsi="Garamond"/>
                <w:color w:val="000000"/>
                <w:lang w:val="en-US"/>
              </w:rPr>
            </w:pPr>
            <w:r w:rsidRPr="008B4ABD">
              <w:rPr>
                <w:rFonts w:ascii="Garamond" w:hAnsi="Garamond"/>
                <w:color w:val="000000"/>
                <w:lang w:val="en-US"/>
              </w:rPr>
              <w:t xml:space="preserve">Content analysis of free text </w:t>
            </w:r>
            <w:r w:rsidRPr="008B4ABD">
              <w:rPr>
                <w:rFonts w:ascii="Garamond" w:hAnsi="Garamond"/>
                <w:color w:val="000000"/>
                <w:lang w:val="en-US"/>
              </w:rPr>
              <w:lastRenderedPageBreak/>
              <w:t>comments of an online questionnaire</w:t>
            </w:r>
          </w:p>
        </w:tc>
        <w:tc>
          <w:tcPr>
            <w:tcW w:w="4111" w:type="dxa"/>
            <w:noWrap/>
            <w:hideMark/>
          </w:tcPr>
          <w:p w14:paraId="34BAC60A" w14:textId="77777777" w:rsidR="00A568F6" w:rsidRPr="00CD021B" w:rsidRDefault="00A568F6" w:rsidP="00A568F6">
            <w:pPr>
              <w:spacing w:line="360" w:lineRule="auto"/>
              <w:jc w:val="both"/>
              <w:rPr>
                <w:rFonts w:ascii="Garamond" w:hAnsi="Garamond"/>
                <w:color w:val="000000"/>
                <w:lang w:val="en-US"/>
              </w:rPr>
            </w:pPr>
            <w:r w:rsidRPr="00CD021B">
              <w:rPr>
                <w:rFonts w:ascii="Garamond" w:hAnsi="Garamond"/>
                <w:color w:val="000000"/>
                <w:lang w:val="en-US"/>
              </w:rPr>
              <w:lastRenderedPageBreak/>
              <w:t xml:space="preserve">Telephone and videoconferencing are considered valuable treatment formats to deliver psychodynamic psychotherapy. The findings raise questions concerning </w:t>
            </w:r>
            <w:r w:rsidRPr="00CD021B">
              <w:rPr>
                <w:rFonts w:ascii="Garamond" w:hAnsi="Garamond"/>
                <w:color w:val="000000"/>
                <w:lang w:val="en-US"/>
              </w:rPr>
              <w:lastRenderedPageBreak/>
              <w:t xml:space="preserve">the maintenance of the therapeutic alliance, the development of the analytic process, the sensitivity to unconscious communication, and the indication for certain types of patients that still need further investigation. </w:t>
            </w:r>
          </w:p>
        </w:tc>
        <w:tc>
          <w:tcPr>
            <w:tcW w:w="979" w:type="dxa"/>
          </w:tcPr>
          <w:p w14:paraId="2A7A56CE" w14:textId="76536C95" w:rsidR="00A568F6" w:rsidRPr="00CD021B" w:rsidRDefault="00A568F6" w:rsidP="00A568F6">
            <w:pPr>
              <w:spacing w:line="360" w:lineRule="auto"/>
              <w:jc w:val="both"/>
              <w:rPr>
                <w:rFonts w:ascii="Garamond" w:hAnsi="Garamond"/>
                <w:color w:val="000000"/>
                <w:lang w:val="en-US"/>
              </w:rPr>
            </w:pPr>
            <w:r>
              <w:rPr>
                <w:rFonts w:ascii="Garamond" w:hAnsi="Garamond"/>
                <w:color w:val="000000"/>
                <w:lang w:val="en-US"/>
              </w:rPr>
              <w:lastRenderedPageBreak/>
              <w:t>****</w:t>
            </w:r>
          </w:p>
        </w:tc>
      </w:tr>
    </w:tbl>
    <w:p w14:paraId="11738BC4" w14:textId="11850B66" w:rsidR="00BE44E2" w:rsidRPr="00FF5924" w:rsidRDefault="00DF04E8" w:rsidP="00FF5924">
      <w:pPr>
        <w:spacing w:line="360" w:lineRule="auto"/>
        <w:jc w:val="both"/>
        <w:rPr>
          <w:rFonts w:ascii="Garamond" w:hAnsi="Garamond"/>
          <w:sz w:val="20"/>
          <w:szCs w:val="20"/>
          <w:lang w:val="en-US"/>
        </w:rPr>
      </w:pPr>
      <w:r>
        <w:rPr>
          <w:rFonts w:ascii="Garamond" w:hAnsi="Garamond"/>
          <w:sz w:val="20"/>
          <w:szCs w:val="20"/>
          <w:lang w:val="en-US"/>
        </w:rPr>
        <w:t xml:space="preserve">* NA= Not </w:t>
      </w:r>
      <w:r w:rsidR="001A69F9">
        <w:rPr>
          <w:rFonts w:ascii="Garamond" w:hAnsi="Garamond"/>
          <w:sz w:val="20"/>
          <w:szCs w:val="20"/>
          <w:lang w:val="en-US"/>
        </w:rPr>
        <w:t>Available</w:t>
      </w:r>
      <w:r>
        <w:rPr>
          <w:rFonts w:ascii="Garamond" w:hAnsi="Garamond"/>
          <w:sz w:val="20"/>
          <w:szCs w:val="20"/>
          <w:lang w:val="en-US"/>
        </w:rPr>
        <w:t>.</w:t>
      </w:r>
    </w:p>
    <w:p w14:paraId="18C5A41D" w14:textId="77777777" w:rsidR="00BE44E2" w:rsidRPr="00FF5924" w:rsidRDefault="00BE44E2" w:rsidP="00FF5924">
      <w:pPr>
        <w:spacing w:line="360" w:lineRule="auto"/>
        <w:jc w:val="both"/>
        <w:rPr>
          <w:rFonts w:ascii="Garamond" w:hAnsi="Garamond"/>
          <w:sz w:val="20"/>
          <w:szCs w:val="20"/>
          <w:lang w:val="en-US"/>
        </w:rPr>
      </w:pPr>
    </w:p>
    <w:p w14:paraId="7135B211" w14:textId="77777777" w:rsidR="00BE44E2" w:rsidRPr="00FF5924" w:rsidRDefault="00BE44E2" w:rsidP="00FF5924">
      <w:pPr>
        <w:spacing w:line="360" w:lineRule="auto"/>
        <w:jc w:val="both"/>
        <w:rPr>
          <w:rFonts w:ascii="Garamond" w:hAnsi="Garamond"/>
          <w:sz w:val="20"/>
          <w:szCs w:val="20"/>
          <w:lang w:val="en-US"/>
        </w:rPr>
      </w:pPr>
    </w:p>
    <w:p w14:paraId="33FD2598" w14:textId="77777777" w:rsidR="00BE44E2" w:rsidRPr="00FF5924" w:rsidRDefault="00BE44E2" w:rsidP="00FF5924">
      <w:pPr>
        <w:spacing w:line="360" w:lineRule="auto"/>
        <w:jc w:val="both"/>
        <w:rPr>
          <w:rFonts w:ascii="Garamond" w:hAnsi="Garamond"/>
          <w:sz w:val="20"/>
          <w:szCs w:val="20"/>
          <w:lang w:val="en-US"/>
        </w:rPr>
      </w:pPr>
    </w:p>
    <w:p w14:paraId="119815F5" w14:textId="77777777" w:rsidR="00BE44E2" w:rsidRPr="00FF5924" w:rsidRDefault="00BE44E2" w:rsidP="00FF5924">
      <w:pPr>
        <w:spacing w:line="360" w:lineRule="auto"/>
        <w:jc w:val="both"/>
        <w:rPr>
          <w:rFonts w:ascii="Garamond" w:hAnsi="Garamond"/>
          <w:sz w:val="20"/>
          <w:szCs w:val="20"/>
          <w:lang w:val="en-US"/>
        </w:rPr>
      </w:pPr>
    </w:p>
    <w:p w14:paraId="128F1466" w14:textId="77777777" w:rsidR="00BE44E2" w:rsidRPr="00FF5924" w:rsidRDefault="00BE44E2" w:rsidP="00FF5924">
      <w:pPr>
        <w:spacing w:line="360" w:lineRule="auto"/>
        <w:jc w:val="both"/>
        <w:rPr>
          <w:rFonts w:ascii="Garamond" w:hAnsi="Garamond"/>
          <w:sz w:val="20"/>
          <w:szCs w:val="20"/>
          <w:lang w:val="en-US"/>
        </w:rPr>
      </w:pPr>
    </w:p>
    <w:p w14:paraId="160E4FF8" w14:textId="77777777" w:rsidR="00BE44E2" w:rsidRPr="00FF5924" w:rsidRDefault="00BE44E2" w:rsidP="00FF5924">
      <w:pPr>
        <w:spacing w:line="360" w:lineRule="auto"/>
        <w:jc w:val="both"/>
        <w:rPr>
          <w:rFonts w:ascii="Garamond" w:hAnsi="Garamond"/>
          <w:sz w:val="20"/>
          <w:szCs w:val="20"/>
          <w:lang w:val="en-US"/>
        </w:rPr>
      </w:pPr>
    </w:p>
    <w:p w14:paraId="3E1E9870" w14:textId="77777777" w:rsidR="00BE44E2" w:rsidRPr="00FF5924" w:rsidRDefault="00BE44E2" w:rsidP="00FF5924">
      <w:pPr>
        <w:spacing w:line="360" w:lineRule="auto"/>
        <w:jc w:val="both"/>
        <w:rPr>
          <w:rFonts w:ascii="Garamond" w:hAnsi="Garamond"/>
          <w:sz w:val="20"/>
          <w:szCs w:val="20"/>
          <w:lang w:val="en-US"/>
        </w:rPr>
      </w:pPr>
    </w:p>
    <w:p w14:paraId="36CAD522" w14:textId="77777777" w:rsidR="00BE44E2" w:rsidRPr="00FF5924" w:rsidRDefault="00BE44E2" w:rsidP="00FF5924">
      <w:pPr>
        <w:spacing w:line="360" w:lineRule="auto"/>
        <w:jc w:val="both"/>
        <w:rPr>
          <w:rFonts w:ascii="Garamond" w:hAnsi="Garamond"/>
          <w:sz w:val="20"/>
          <w:szCs w:val="20"/>
          <w:lang w:val="en-US"/>
        </w:rPr>
      </w:pPr>
    </w:p>
    <w:p w14:paraId="1E5F4807" w14:textId="77777777" w:rsidR="00BE44E2" w:rsidRPr="00FF5924" w:rsidRDefault="00BE44E2" w:rsidP="00FF5924">
      <w:pPr>
        <w:spacing w:line="360" w:lineRule="auto"/>
        <w:jc w:val="both"/>
        <w:rPr>
          <w:rFonts w:ascii="Garamond" w:hAnsi="Garamond"/>
          <w:sz w:val="20"/>
          <w:szCs w:val="20"/>
          <w:lang w:val="en-US"/>
        </w:rPr>
      </w:pPr>
    </w:p>
    <w:p w14:paraId="65DB8E98" w14:textId="77777777" w:rsidR="00725B88" w:rsidRPr="00FF5924" w:rsidRDefault="00725B88" w:rsidP="00FF5924">
      <w:pPr>
        <w:spacing w:line="360" w:lineRule="auto"/>
        <w:rPr>
          <w:rFonts w:ascii="Garamond" w:hAnsi="Garamond"/>
          <w:sz w:val="20"/>
          <w:szCs w:val="20"/>
          <w:lang w:val="en-US"/>
        </w:rPr>
      </w:pPr>
    </w:p>
    <w:sectPr w:rsidR="00725B88" w:rsidRPr="00FF5924" w:rsidSect="00CD021B">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E2"/>
    <w:rsid w:val="00030A19"/>
    <w:rsid w:val="001A69F9"/>
    <w:rsid w:val="00374B44"/>
    <w:rsid w:val="003D3608"/>
    <w:rsid w:val="004511E2"/>
    <w:rsid w:val="004E7C39"/>
    <w:rsid w:val="005E3ABD"/>
    <w:rsid w:val="00725B88"/>
    <w:rsid w:val="00831C9F"/>
    <w:rsid w:val="008B4ABD"/>
    <w:rsid w:val="00911142"/>
    <w:rsid w:val="00A568F6"/>
    <w:rsid w:val="00BB579E"/>
    <w:rsid w:val="00BE44E2"/>
    <w:rsid w:val="00C154B6"/>
    <w:rsid w:val="00C23774"/>
    <w:rsid w:val="00CD021B"/>
    <w:rsid w:val="00DF04E8"/>
    <w:rsid w:val="00ED4BEE"/>
    <w:rsid w:val="00FF592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462C"/>
  <w15:chartTrackingRefBased/>
  <w15:docId w15:val="{479ACADF-4CB2-6246-AA8B-71C1D79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E2"/>
    <w:rPr>
      <w:rFonts w:ascii="Times New Roman" w:eastAsia="Times New Roman" w:hAnsi="Times New Roman" w:cs="Times New Roman"/>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4E2"/>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21B"/>
    <w:rPr>
      <w:sz w:val="18"/>
      <w:szCs w:val="18"/>
    </w:rPr>
  </w:style>
  <w:style w:type="character" w:customStyle="1" w:styleId="BalloonTextChar">
    <w:name w:val="Balloon Text Char"/>
    <w:basedOn w:val="DefaultParagraphFont"/>
    <w:link w:val="BalloonText"/>
    <w:uiPriority w:val="99"/>
    <w:semiHidden/>
    <w:rsid w:val="00CD021B"/>
    <w:rPr>
      <w:rFonts w:ascii="Times New Roman" w:eastAsia="Times New Roman" w:hAnsi="Times New Roman" w:cs="Times New Roman"/>
      <w:sz w:val="18"/>
      <w:szCs w:val="18"/>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sani</dc:creator>
  <cp:keywords/>
  <dc:description/>
  <cp:lastModifiedBy>livia sani</cp:lastModifiedBy>
  <cp:revision>13</cp:revision>
  <dcterms:created xsi:type="dcterms:W3CDTF">2022-12-20T16:14:00Z</dcterms:created>
  <dcterms:modified xsi:type="dcterms:W3CDTF">2023-08-14T11:04:00Z</dcterms:modified>
</cp:coreProperties>
</file>