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4AC9" w14:textId="4BA0405F" w:rsidR="00890EE7" w:rsidRPr="00443F82" w:rsidRDefault="00890EE7"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Female gender and psychological profile of outpatients attending </w:t>
      </w:r>
      <w:proofErr w:type="gramStart"/>
      <w:r w:rsidRPr="00443F82">
        <w:rPr>
          <w:rFonts w:ascii="Garamond" w:eastAsia="Times New Roman" w:hAnsi="Garamond" w:cs="Times New Roman"/>
          <w:b/>
          <w:color w:val="202020"/>
          <w:sz w:val="24"/>
          <w:szCs w:val="24"/>
          <w:lang w:val="en-US"/>
        </w:rPr>
        <w:t>Post-COVID</w:t>
      </w:r>
      <w:proofErr w:type="gramEnd"/>
      <w:r w:rsidRPr="00443F82">
        <w:rPr>
          <w:rFonts w:ascii="Garamond" w:eastAsia="Times New Roman" w:hAnsi="Garamond" w:cs="Times New Roman"/>
          <w:b/>
          <w:color w:val="202020"/>
          <w:sz w:val="24"/>
          <w:szCs w:val="24"/>
          <w:lang w:val="en-US"/>
        </w:rPr>
        <w:t>-19 follow-up: some preliminary results</w:t>
      </w:r>
    </w:p>
    <w:p w14:paraId="1F76E063" w14:textId="04C78E99" w:rsidR="0062771F" w:rsidRPr="0062771F" w:rsidRDefault="0062771F" w:rsidP="0062771F">
      <w:pPr>
        <w:spacing w:line="360" w:lineRule="auto"/>
        <w:jc w:val="both"/>
        <w:rPr>
          <w:rFonts w:ascii="Garamond" w:eastAsia="Times New Roman" w:hAnsi="Garamond" w:cs="Times New Roman"/>
          <w:b/>
          <w:bCs/>
          <w:color w:val="202020"/>
          <w:sz w:val="24"/>
          <w:szCs w:val="24"/>
          <w:vertAlign w:val="superscript"/>
          <w:lang w:val="it-IT"/>
        </w:rPr>
      </w:pPr>
      <w:r w:rsidRPr="0062771F">
        <w:rPr>
          <w:rFonts w:ascii="Garamond" w:eastAsia="Times New Roman" w:hAnsi="Garamond" w:cs="Times New Roman"/>
          <w:b/>
          <w:bCs/>
          <w:color w:val="202020"/>
          <w:sz w:val="24"/>
          <w:szCs w:val="24"/>
          <w:lang w:val="it-IT"/>
        </w:rPr>
        <w:t>Annamaria Petito</w:t>
      </w:r>
      <w:r w:rsidRPr="0062771F">
        <w:rPr>
          <w:rFonts w:ascii="Garamond" w:eastAsia="Times New Roman" w:hAnsi="Garamond" w:cs="Times New Roman"/>
          <w:b/>
          <w:bCs/>
          <w:color w:val="202020"/>
          <w:sz w:val="24"/>
          <w:szCs w:val="24"/>
          <w:vertAlign w:val="superscript"/>
          <w:lang w:val="it-IT"/>
        </w:rPr>
        <w:t>1,2</w:t>
      </w:r>
      <w:r w:rsidRPr="0062771F">
        <w:rPr>
          <w:rFonts w:ascii="Garamond" w:eastAsia="Times New Roman" w:hAnsi="Garamond" w:cs="Times New Roman"/>
          <w:b/>
          <w:bCs/>
          <w:color w:val="202020"/>
          <w:sz w:val="24"/>
          <w:szCs w:val="24"/>
          <w:lang w:val="it-IT"/>
        </w:rPr>
        <w:t>, Annalisa Loconsole</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Melania Severo</w:t>
      </w:r>
      <w:r w:rsidRPr="0062771F">
        <w:rPr>
          <w:rFonts w:ascii="Garamond" w:eastAsia="Times New Roman" w:hAnsi="Garamond" w:cs="Times New Roman"/>
          <w:b/>
          <w:bCs/>
          <w:color w:val="202020"/>
          <w:sz w:val="24"/>
          <w:szCs w:val="24"/>
          <w:vertAlign w:val="superscript"/>
          <w:lang w:val="it-IT"/>
        </w:rPr>
        <w:t>1,2,3</w:t>
      </w:r>
      <w:r w:rsidRPr="0062771F">
        <w:rPr>
          <w:rFonts w:ascii="Garamond" w:eastAsia="Times New Roman" w:hAnsi="Garamond" w:cs="Times New Roman"/>
          <w:b/>
          <w:bCs/>
          <w:color w:val="202020"/>
          <w:sz w:val="24"/>
          <w:szCs w:val="24"/>
          <w:vertAlign w:val="superscript"/>
          <w:lang w:val="it-IT"/>
        </w:rPr>
        <w:t>*</w:t>
      </w:r>
      <w:r w:rsidRPr="0062771F">
        <w:rPr>
          <w:rFonts w:ascii="Garamond" w:eastAsia="Times New Roman" w:hAnsi="Garamond" w:cs="Times New Roman"/>
          <w:b/>
          <w:bCs/>
          <w:color w:val="202020"/>
          <w:sz w:val="24"/>
          <w:szCs w:val="24"/>
          <w:lang w:val="it-IT"/>
        </w:rPr>
        <w:t>, Elisabetta Ricciardi</w:t>
      </w:r>
      <w:r w:rsidRPr="0062771F">
        <w:rPr>
          <w:rFonts w:ascii="Garamond" w:eastAsia="Times New Roman" w:hAnsi="Garamond" w:cs="Times New Roman"/>
          <w:b/>
          <w:bCs/>
          <w:color w:val="202020"/>
          <w:sz w:val="24"/>
          <w:szCs w:val="24"/>
          <w:vertAlign w:val="superscript"/>
          <w:lang w:val="it-IT"/>
        </w:rPr>
        <w:t>2,4</w:t>
      </w:r>
      <w:r w:rsidRPr="0062771F">
        <w:rPr>
          <w:rFonts w:ascii="Garamond" w:eastAsia="Times New Roman" w:hAnsi="Garamond" w:cs="Times New Roman"/>
          <w:b/>
          <w:bCs/>
          <w:color w:val="202020"/>
          <w:sz w:val="24"/>
          <w:szCs w:val="24"/>
          <w:lang w:val="it-IT"/>
        </w:rPr>
        <w:t>, Marco Angelillo</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Salvatore Iuso</w:t>
      </w:r>
      <w:r w:rsidRPr="0062771F">
        <w:rPr>
          <w:rFonts w:ascii="Garamond" w:eastAsia="Times New Roman" w:hAnsi="Garamond" w:cs="Times New Roman"/>
          <w:b/>
          <w:bCs/>
          <w:color w:val="202020"/>
          <w:sz w:val="24"/>
          <w:szCs w:val="24"/>
          <w:vertAlign w:val="superscript"/>
          <w:lang w:val="it-IT"/>
        </w:rPr>
        <w:t>1</w:t>
      </w:r>
      <w:r w:rsidRPr="0062771F">
        <w:rPr>
          <w:rFonts w:ascii="Garamond" w:eastAsia="Times New Roman" w:hAnsi="Garamond" w:cs="Times New Roman"/>
          <w:b/>
          <w:bCs/>
          <w:color w:val="202020"/>
          <w:sz w:val="24"/>
          <w:szCs w:val="24"/>
          <w:lang w:val="it-IT"/>
        </w:rPr>
        <w:t>, Stefania Ferrante</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Giulia Scioscia</w:t>
      </w:r>
      <w:r w:rsidRPr="0062771F">
        <w:rPr>
          <w:rFonts w:ascii="Garamond" w:eastAsia="Times New Roman" w:hAnsi="Garamond" w:cs="Times New Roman"/>
          <w:b/>
          <w:bCs/>
          <w:color w:val="202020"/>
          <w:sz w:val="24"/>
          <w:szCs w:val="24"/>
          <w:vertAlign w:val="superscript"/>
          <w:lang w:val="it-IT"/>
        </w:rPr>
        <w:t>5</w:t>
      </w:r>
      <w:r w:rsidRPr="0062771F">
        <w:rPr>
          <w:rFonts w:ascii="Garamond" w:eastAsia="Times New Roman" w:hAnsi="Garamond" w:cs="Times New Roman"/>
          <w:b/>
          <w:bCs/>
          <w:color w:val="202020"/>
          <w:sz w:val="24"/>
          <w:szCs w:val="24"/>
          <w:lang w:val="it-IT"/>
        </w:rPr>
        <w:t>, Paola Pierucci</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Andrea Portacci</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Donato Lacedonia</w:t>
      </w:r>
      <w:r w:rsidRPr="0062771F">
        <w:rPr>
          <w:rFonts w:ascii="Garamond" w:eastAsia="Times New Roman" w:hAnsi="Garamond" w:cs="Times New Roman"/>
          <w:b/>
          <w:bCs/>
          <w:color w:val="202020"/>
          <w:sz w:val="24"/>
          <w:szCs w:val="24"/>
          <w:vertAlign w:val="superscript"/>
          <w:lang w:val="it-IT"/>
        </w:rPr>
        <w:t>5</w:t>
      </w:r>
      <w:r w:rsidRPr="0062771F">
        <w:rPr>
          <w:rFonts w:ascii="Garamond" w:eastAsia="Times New Roman" w:hAnsi="Garamond" w:cs="Times New Roman"/>
          <w:b/>
          <w:bCs/>
          <w:color w:val="202020"/>
          <w:sz w:val="24"/>
          <w:szCs w:val="24"/>
          <w:lang w:val="it-IT"/>
        </w:rPr>
        <w:t xml:space="preserve">, Giovanna </w:t>
      </w:r>
      <w:proofErr w:type="spellStart"/>
      <w:r w:rsidRPr="0062771F">
        <w:rPr>
          <w:rFonts w:ascii="Garamond" w:eastAsia="Times New Roman" w:hAnsi="Garamond" w:cs="Times New Roman"/>
          <w:b/>
          <w:bCs/>
          <w:color w:val="202020"/>
          <w:sz w:val="24"/>
          <w:szCs w:val="24"/>
          <w:lang w:val="it-IT"/>
        </w:rPr>
        <w:t>Elisiana</w:t>
      </w:r>
      <w:proofErr w:type="spellEnd"/>
      <w:r w:rsidRPr="0062771F">
        <w:rPr>
          <w:rFonts w:ascii="Garamond" w:eastAsia="Times New Roman" w:hAnsi="Garamond" w:cs="Times New Roman"/>
          <w:b/>
          <w:bCs/>
          <w:color w:val="202020"/>
          <w:sz w:val="24"/>
          <w:szCs w:val="24"/>
          <w:lang w:val="it-IT"/>
        </w:rPr>
        <w:t xml:space="preserve"> Carpagnano</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Francesco Mancini</w:t>
      </w:r>
      <w:r w:rsidRPr="0062771F">
        <w:rPr>
          <w:rFonts w:ascii="Garamond" w:eastAsia="Times New Roman" w:hAnsi="Garamond" w:cs="Times New Roman"/>
          <w:b/>
          <w:bCs/>
          <w:color w:val="202020"/>
          <w:sz w:val="24"/>
          <w:szCs w:val="24"/>
          <w:vertAlign w:val="superscript"/>
          <w:lang w:val="it-IT"/>
        </w:rPr>
        <w:t>7,8</w:t>
      </w:r>
      <w:r w:rsidRPr="0062771F">
        <w:rPr>
          <w:rFonts w:ascii="Garamond" w:eastAsia="Times New Roman" w:hAnsi="Garamond" w:cs="Times New Roman"/>
          <w:b/>
          <w:bCs/>
          <w:color w:val="202020"/>
          <w:sz w:val="24"/>
          <w:szCs w:val="24"/>
          <w:lang w:val="it-IT"/>
        </w:rPr>
        <w:t xml:space="preserve"> and Maria Grazia </w:t>
      </w:r>
      <w:proofErr w:type="spellStart"/>
      <w:r w:rsidRPr="0062771F">
        <w:rPr>
          <w:rFonts w:ascii="Garamond" w:eastAsia="Times New Roman" w:hAnsi="Garamond" w:cs="Times New Roman"/>
          <w:b/>
          <w:bCs/>
          <w:color w:val="202020"/>
          <w:sz w:val="24"/>
          <w:szCs w:val="24"/>
          <w:lang w:val="it-IT"/>
        </w:rPr>
        <w:t>Foschino</w:t>
      </w:r>
      <w:proofErr w:type="spellEnd"/>
      <w:r w:rsidRPr="0062771F">
        <w:rPr>
          <w:rFonts w:ascii="Garamond" w:eastAsia="Times New Roman" w:hAnsi="Garamond" w:cs="Times New Roman"/>
          <w:b/>
          <w:bCs/>
          <w:color w:val="202020"/>
          <w:sz w:val="24"/>
          <w:szCs w:val="24"/>
          <w:lang w:val="it-IT"/>
        </w:rPr>
        <w:t xml:space="preserve"> Barbaro</w:t>
      </w:r>
      <w:r w:rsidRPr="0062771F">
        <w:rPr>
          <w:rFonts w:ascii="Garamond" w:eastAsia="Times New Roman" w:hAnsi="Garamond" w:cs="Times New Roman"/>
          <w:b/>
          <w:bCs/>
          <w:color w:val="202020"/>
          <w:sz w:val="24"/>
          <w:szCs w:val="24"/>
          <w:vertAlign w:val="superscript"/>
          <w:lang w:val="it-IT"/>
        </w:rPr>
        <w:t>2</w:t>
      </w:r>
    </w:p>
    <w:p w14:paraId="2E8B0A7C" w14:textId="77777777" w:rsidR="0062771F" w:rsidRPr="00443F82" w:rsidRDefault="0062771F" w:rsidP="0062771F">
      <w:pPr>
        <w:spacing w:line="360" w:lineRule="auto"/>
        <w:jc w:val="both"/>
        <w:rPr>
          <w:rFonts w:ascii="Garamond" w:eastAsia="Times New Roman" w:hAnsi="Garamond" w:cs="Times New Roman"/>
          <w:color w:val="202020"/>
          <w:sz w:val="24"/>
          <w:szCs w:val="24"/>
          <w:vertAlign w:val="superscript"/>
          <w:lang w:val="it-IT"/>
        </w:rPr>
      </w:pPr>
    </w:p>
    <w:p w14:paraId="271E0CB1" w14:textId="77777777" w:rsidR="0062771F" w:rsidRPr="00443F82" w:rsidRDefault="0062771F" w:rsidP="0062771F">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vertAlign w:val="superscript"/>
          <w:lang w:val="en-US"/>
        </w:rPr>
        <w:t xml:space="preserve">1 </w:t>
      </w:r>
      <w:r w:rsidRPr="00443F82">
        <w:rPr>
          <w:rFonts w:ascii="Garamond" w:eastAsia="Times New Roman" w:hAnsi="Garamond" w:cs="Times New Roman"/>
          <w:color w:val="202020"/>
          <w:sz w:val="24"/>
          <w:szCs w:val="24"/>
          <w:lang w:val="en-US"/>
        </w:rPr>
        <w:t>Department of Clinical and Experimental Medicine, University of Foggia, Foggia, Italy</w:t>
      </w:r>
    </w:p>
    <w:p w14:paraId="46D9AD61" w14:textId="77777777" w:rsidR="0062771F" w:rsidRDefault="0062771F" w:rsidP="0062771F">
      <w:pPr>
        <w:spacing w:line="360" w:lineRule="auto"/>
        <w:jc w:val="both"/>
        <w:rPr>
          <w:rFonts w:ascii="Garamond" w:eastAsia="Times New Roman" w:hAnsi="Garamond" w:cs="Times New Roman"/>
          <w:color w:val="202020"/>
          <w:sz w:val="24"/>
          <w:szCs w:val="24"/>
          <w:lang w:val="it-IT"/>
        </w:rPr>
      </w:pPr>
      <w:r w:rsidRPr="00443F82">
        <w:rPr>
          <w:rFonts w:ascii="Garamond" w:eastAsia="Times New Roman" w:hAnsi="Garamond" w:cs="Times New Roman"/>
          <w:color w:val="202020"/>
          <w:sz w:val="24"/>
          <w:szCs w:val="24"/>
          <w:vertAlign w:val="superscript"/>
          <w:lang w:val="it-IT"/>
        </w:rPr>
        <w:t xml:space="preserve">2 </w:t>
      </w:r>
      <w:r w:rsidRPr="00443F82">
        <w:rPr>
          <w:rFonts w:ascii="Garamond" w:eastAsia="Times New Roman" w:hAnsi="Garamond" w:cs="Times New Roman"/>
          <w:color w:val="202020"/>
          <w:sz w:val="24"/>
          <w:szCs w:val="24"/>
          <w:lang w:val="it-IT"/>
        </w:rPr>
        <w:t xml:space="preserve">AIPC - Associazione Italiana di Psicoterapia Cognitiva Bari, </w:t>
      </w:r>
      <w:proofErr w:type="spellStart"/>
      <w:r w:rsidRPr="00443F82">
        <w:rPr>
          <w:rFonts w:ascii="Garamond" w:eastAsia="Times New Roman" w:hAnsi="Garamond" w:cs="Times New Roman"/>
          <w:color w:val="202020"/>
          <w:sz w:val="24"/>
          <w:szCs w:val="24"/>
          <w:lang w:val="it-IT"/>
        </w:rPr>
        <w:t>Italy</w:t>
      </w:r>
      <w:proofErr w:type="spellEnd"/>
    </w:p>
    <w:p w14:paraId="27DD3C3B" w14:textId="77777777" w:rsidR="0062771F" w:rsidRPr="001F6908"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3</w:t>
      </w:r>
      <w:r w:rsidRPr="001F6908">
        <w:rPr>
          <w:rFonts w:ascii="Garamond" w:eastAsia="Times New Roman" w:hAnsi="Garamond" w:cs="Times New Roman"/>
          <w:color w:val="202020"/>
          <w:sz w:val="24"/>
          <w:szCs w:val="24"/>
          <w:vertAlign w:val="superscript"/>
          <w:lang w:val="en-US"/>
        </w:rPr>
        <w:t xml:space="preserve"> </w:t>
      </w:r>
      <w:r w:rsidRPr="001F6908">
        <w:rPr>
          <w:rFonts w:ascii="Garamond" w:eastAsia="Times New Roman" w:hAnsi="Garamond" w:cs="Times New Roman"/>
          <w:color w:val="202020"/>
          <w:sz w:val="24"/>
          <w:szCs w:val="24"/>
          <w:lang w:val="en-US"/>
        </w:rPr>
        <w:t>Department of Humanistic Studies, University of Foggia, 71121 Foggia, Italy</w:t>
      </w:r>
    </w:p>
    <w:p w14:paraId="6D5C5CAD" w14:textId="77777777" w:rsidR="0062771F" w:rsidRPr="00443F82"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4</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 xml:space="preserve">Department of Educational Science, Psychology, Communication, University of Bari, </w:t>
      </w:r>
      <w:proofErr w:type="spellStart"/>
      <w:r w:rsidRPr="00443F82">
        <w:rPr>
          <w:rFonts w:ascii="Garamond" w:eastAsia="Times New Roman" w:hAnsi="Garamond" w:cs="Times New Roman"/>
          <w:color w:val="202020"/>
          <w:sz w:val="24"/>
          <w:szCs w:val="24"/>
          <w:lang w:val="en-US"/>
        </w:rPr>
        <w:t>Bary</w:t>
      </w:r>
      <w:proofErr w:type="spellEnd"/>
      <w:r w:rsidRPr="00443F82">
        <w:rPr>
          <w:rFonts w:ascii="Garamond" w:eastAsia="Times New Roman" w:hAnsi="Garamond" w:cs="Times New Roman"/>
          <w:color w:val="202020"/>
          <w:sz w:val="24"/>
          <w:szCs w:val="24"/>
          <w:lang w:val="en-US"/>
        </w:rPr>
        <w:t>, Italy</w:t>
      </w:r>
    </w:p>
    <w:p w14:paraId="0B5C505D" w14:textId="77777777" w:rsidR="0062771F" w:rsidRPr="00443F82"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5</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Department of Medical and Surgical Sciences, University of Foggia, Institute of Respiratory Diseases, “</w:t>
      </w:r>
      <w:proofErr w:type="spellStart"/>
      <w:r w:rsidRPr="00443F82">
        <w:rPr>
          <w:rFonts w:ascii="Garamond" w:eastAsia="Times New Roman" w:hAnsi="Garamond" w:cs="Times New Roman"/>
          <w:color w:val="202020"/>
          <w:sz w:val="24"/>
          <w:szCs w:val="24"/>
          <w:lang w:val="en-US"/>
        </w:rPr>
        <w:t>Policlinico</w:t>
      </w:r>
      <w:proofErr w:type="spellEnd"/>
      <w:r w:rsidRPr="00443F82">
        <w:rPr>
          <w:rFonts w:ascii="Garamond" w:eastAsia="Times New Roman" w:hAnsi="Garamond" w:cs="Times New Roman"/>
          <w:color w:val="202020"/>
          <w:sz w:val="24"/>
          <w:szCs w:val="24"/>
          <w:lang w:val="en-US"/>
        </w:rPr>
        <w:t xml:space="preserve"> </w:t>
      </w:r>
      <w:proofErr w:type="spellStart"/>
      <w:r w:rsidRPr="00443F82">
        <w:rPr>
          <w:rFonts w:ascii="Garamond" w:eastAsia="Times New Roman" w:hAnsi="Garamond" w:cs="Times New Roman"/>
          <w:color w:val="202020"/>
          <w:sz w:val="24"/>
          <w:szCs w:val="24"/>
          <w:lang w:val="en-US"/>
        </w:rPr>
        <w:t>Riuniti</w:t>
      </w:r>
      <w:proofErr w:type="spellEnd"/>
      <w:r w:rsidRPr="00443F82">
        <w:rPr>
          <w:rFonts w:ascii="Garamond" w:eastAsia="Times New Roman" w:hAnsi="Garamond" w:cs="Times New Roman"/>
          <w:color w:val="202020"/>
          <w:sz w:val="24"/>
          <w:szCs w:val="24"/>
          <w:lang w:val="en-US"/>
        </w:rPr>
        <w:t>” University Hospital of Foggia, 71122 Foggia, Italy</w:t>
      </w:r>
    </w:p>
    <w:p w14:paraId="6F83A878" w14:textId="77777777" w:rsidR="0062771F" w:rsidRPr="00443F82"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6</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Cardiothoracic Department, Respiratory and Critical Care Unit Bari Policlinic University Hospital, Section of Respiratory Diseases, Department of Basic Medical Science Neuroscience and Sense Organs, University of Bari 'Aldo Moro', Bari, Italy, University of Bari, Bari, Italy</w:t>
      </w:r>
    </w:p>
    <w:p w14:paraId="28E2F5A3" w14:textId="77777777" w:rsidR="0062771F" w:rsidRPr="00443F82" w:rsidRDefault="0062771F" w:rsidP="0062771F">
      <w:pPr>
        <w:spacing w:line="360" w:lineRule="auto"/>
        <w:jc w:val="both"/>
        <w:rPr>
          <w:rFonts w:ascii="Garamond" w:eastAsia="Times New Roman" w:hAnsi="Garamond" w:cs="Times New Roman"/>
          <w:color w:val="202020"/>
          <w:sz w:val="24"/>
          <w:szCs w:val="24"/>
          <w:lang w:val="it-IT"/>
        </w:rPr>
      </w:pPr>
      <w:r>
        <w:rPr>
          <w:rFonts w:ascii="Garamond" w:eastAsia="Times New Roman" w:hAnsi="Garamond" w:cs="Times New Roman"/>
          <w:color w:val="202020"/>
          <w:sz w:val="24"/>
          <w:szCs w:val="24"/>
          <w:vertAlign w:val="superscript"/>
          <w:lang w:val="it-IT"/>
        </w:rPr>
        <w:t>7</w:t>
      </w:r>
      <w:r w:rsidRPr="00443F82">
        <w:rPr>
          <w:rFonts w:ascii="Garamond" w:eastAsia="Times New Roman" w:hAnsi="Garamond" w:cs="Times New Roman"/>
          <w:color w:val="202020"/>
          <w:sz w:val="24"/>
          <w:szCs w:val="24"/>
          <w:vertAlign w:val="superscript"/>
          <w:lang w:val="it-IT"/>
        </w:rPr>
        <w:t xml:space="preserve"> </w:t>
      </w:r>
      <w:r w:rsidRPr="00443F82">
        <w:rPr>
          <w:rFonts w:ascii="Garamond" w:eastAsia="Times New Roman" w:hAnsi="Garamond" w:cs="Times New Roman"/>
          <w:color w:val="202020"/>
          <w:sz w:val="24"/>
          <w:szCs w:val="24"/>
          <w:lang w:val="it-IT"/>
        </w:rPr>
        <w:t xml:space="preserve">Scuola di Specializzazione in Psicoterapia Cognitiva APC-SPC, Rome, </w:t>
      </w:r>
      <w:proofErr w:type="spellStart"/>
      <w:r w:rsidRPr="00443F82">
        <w:rPr>
          <w:rFonts w:ascii="Garamond" w:eastAsia="Times New Roman" w:hAnsi="Garamond" w:cs="Times New Roman"/>
          <w:color w:val="202020"/>
          <w:sz w:val="24"/>
          <w:szCs w:val="24"/>
          <w:lang w:val="it-IT"/>
        </w:rPr>
        <w:t>Italy</w:t>
      </w:r>
      <w:proofErr w:type="spellEnd"/>
    </w:p>
    <w:p w14:paraId="25F63360" w14:textId="27C30F5A" w:rsidR="0062771F"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8</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Department of Human Sciences, Marconi University, Rome, Italy</w:t>
      </w:r>
    </w:p>
    <w:p w14:paraId="0130AE7D" w14:textId="228526D9" w:rsidR="0062771F" w:rsidRPr="00443F82" w:rsidRDefault="0062771F" w:rsidP="0062771F">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lang w:val="en-US"/>
        </w:rPr>
        <w:t>*</w:t>
      </w:r>
      <w:r w:rsidRPr="0062771F">
        <w:t xml:space="preserve"> </w:t>
      </w:r>
      <w:r w:rsidRPr="0062771F">
        <w:rPr>
          <w:rFonts w:ascii="Garamond" w:eastAsia="Times New Roman" w:hAnsi="Garamond" w:cs="Times New Roman"/>
          <w:color w:val="202020"/>
          <w:sz w:val="24"/>
          <w:szCs w:val="24"/>
          <w:lang w:val="en-US"/>
        </w:rPr>
        <w:t>Correspondence</w:t>
      </w:r>
      <w:r>
        <w:rPr>
          <w:rFonts w:ascii="Garamond" w:eastAsia="Times New Roman" w:hAnsi="Garamond" w:cs="Times New Roman"/>
          <w:color w:val="202020"/>
          <w:sz w:val="24"/>
          <w:szCs w:val="24"/>
          <w:lang w:val="en-US"/>
        </w:rPr>
        <w:t>: melania.severo@unifg.it</w:t>
      </w:r>
    </w:p>
    <w:p w14:paraId="711DB673" w14:textId="77777777" w:rsidR="0062771F" w:rsidRPr="00443F82" w:rsidRDefault="0062771F" w:rsidP="0062771F">
      <w:pPr>
        <w:spacing w:line="360" w:lineRule="auto"/>
        <w:rPr>
          <w:rFonts w:ascii="Garamond" w:hAnsi="Garamond"/>
          <w:b/>
          <w:bCs/>
          <w:sz w:val="24"/>
          <w:szCs w:val="24"/>
          <w:lang w:val="en-US"/>
        </w:rPr>
      </w:pPr>
    </w:p>
    <w:p w14:paraId="5DF862C9" w14:textId="25CD60E0" w:rsidR="00D50C4A" w:rsidRDefault="0062771F" w:rsidP="00443F82">
      <w:pPr>
        <w:spacing w:line="360" w:lineRule="auto"/>
        <w:rPr>
          <w:rFonts w:ascii="Garamond" w:hAnsi="Garamond"/>
          <w:b/>
          <w:bCs/>
          <w:sz w:val="24"/>
          <w:szCs w:val="24"/>
        </w:rPr>
      </w:pPr>
      <w:r w:rsidRPr="00443F82">
        <w:rPr>
          <w:rFonts w:ascii="Garamond" w:hAnsi="Garamond"/>
          <w:b/>
          <w:bCs/>
          <w:sz w:val="24"/>
          <w:szCs w:val="24"/>
        </w:rPr>
        <w:t xml:space="preserve">RUNNING TITLE: Psychological profile of </w:t>
      </w:r>
      <w:proofErr w:type="gramStart"/>
      <w:r w:rsidRPr="00443F82">
        <w:rPr>
          <w:rFonts w:ascii="Garamond" w:hAnsi="Garamond"/>
          <w:b/>
          <w:bCs/>
          <w:sz w:val="24"/>
          <w:szCs w:val="24"/>
        </w:rPr>
        <w:t>Post-COVID</w:t>
      </w:r>
      <w:proofErr w:type="gramEnd"/>
      <w:r w:rsidRPr="00443F82">
        <w:rPr>
          <w:rFonts w:ascii="Garamond" w:hAnsi="Garamond"/>
          <w:b/>
          <w:bCs/>
          <w:sz w:val="24"/>
          <w:szCs w:val="24"/>
        </w:rPr>
        <w:t>-19 outpatients</w:t>
      </w:r>
    </w:p>
    <w:p w14:paraId="530A284C" w14:textId="77777777" w:rsidR="0062771F" w:rsidRPr="00443F82" w:rsidRDefault="0062771F" w:rsidP="00443F82">
      <w:pPr>
        <w:spacing w:line="360" w:lineRule="auto"/>
        <w:rPr>
          <w:rFonts w:ascii="Garamond" w:hAnsi="Garamond"/>
          <w:b/>
          <w:bCs/>
          <w:sz w:val="24"/>
          <w:szCs w:val="24"/>
        </w:rPr>
      </w:pPr>
    </w:p>
    <w:p w14:paraId="4E8D38AC" w14:textId="1B1A6098" w:rsidR="00721207" w:rsidRPr="00443F82" w:rsidRDefault="00721207" w:rsidP="00443F82">
      <w:pPr>
        <w:spacing w:line="360" w:lineRule="auto"/>
        <w:rPr>
          <w:rFonts w:ascii="Garamond" w:hAnsi="Garamond"/>
          <w:b/>
          <w:bCs/>
          <w:sz w:val="24"/>
          <w:szCs w:val="24"/>
          <w:vertAlign w:val="superscript"/>
        </w:rPr>
      </w:pPr>
      <w:r w:rsidRPr="00443F82">
        <w:rPr>
          <w:rFonts w:ascii="Garamond" w:hAnsi="Garamond"/>
          <w:b/>
          <w:bCs/>
          <w:sz w:val="24"/>
          <w:szCs w:val="24"/>
        </w:rPr>
        <w:t xml:space="preserve">Abstract </w:t>
      </w:r>
    </w:p>
    <w:p w14:paraId="5951B24A" w14:textId="6B8FF1C1" w:rsidR="00890EE7" w:rsidRPr="00443F82" w:rsidRDefault="00890EE7" w:rsidP="00443F82">
      <w:pPr>
        <w:spacing w:line="360" w:lineRule="auto"/>
        <w:jc w:val="both"/>
        <w:rPr>
          <w:rFonts w:ascii="Garamond" w:hAnsi="Garamond"/>
          <w:sz w:val="24"/>
          <w:szCs w:val="24"/>
        </w:rPr>
      </w:pPr>
      <w:r w:rsidRPr="00443F82">
        <w:rPr>
          <w:rFonts w:ascii="Garamond" w:hAnsi="Garamond"/>
          <w:sz w:val="24"/>
          <w:szCs w:val="24"/>
        </w:rPr>
        <w:t>Background. The Post-COVID syndrome, characterized by persistence of psychological, neurologic, and physical symptoms, affects a large proportion of COVID-19 survivors. Specifically, females seem at increased risk of experiencing more psychological manifestations of Post-COVID Syndrome.</w:t>
      </w:r>
    </w:p>
    <w:p w14:paraId="48CF3EEC" w14:textId="322AE356" w:rsidR="00890EE7" w:rsidRPr="00443F82" w:rsidRDefault="00890EE7" w:rsidP="00443F82">
      <w:pPr>
        <w:spacing w:line="360" w:lineRule="auto"/>
        <w:jc w:val="both"/>
        <w:rPr>
          <w:rFonts w:ascii="Garamond" w:hAnsi="Garamond"/>
          <w:sz w:val="24"/>
          <w:szCs w:val="24"/>
        </w:rPr>
      </w:pPr>
      <w:r w:rsidRPr="00443F82">
        <w:rPr>
          <w:rFonts w:ascii="Garamond" w:hAnsi="Garamond"/>
          <w:sz w:val="24"/>
          <w:szCs w:val="24"/>
        </w:rPr>
        <w:lastRenderedPageBreak/>
        <w:t xml:space="preserve">Methods. A sample of 60 PCR (Polymerase Chain Reaction) confirmed COVID-19 outpatients (48.3% female; age mean= 56.1; SD= 10.8) attending an outpatient clinic dedicated to </w:t>
      </w:r>
      <w:proofErr w:type="gramStart"/>
      <w:r w:rsidRPr="00443F82">
        <w:rPr>
          <w:rFonts w:ascii="Garamond" w:hAnsi="Garamond"/>
          <w:sz w:val="24"/>
          <w:szCs w:val="24"/>
        </w:rPr>
        <w:t>Post-COVID</w:t>
      </w:r>
      <w:proofErr w:type="gramEnd"/>
      <w:r w:rsidRPr="00443F82">
        <w:rPr>
          <w:rFonts w:ascii="Garamond" w:hAnsi="Garamond"/>
          <w:sz w:val="24"/>
          <w:szCs w:val="24"/>
        </w:rPr>
        <w:t xml:space="preserve">-19 follow-up was enrolled for this study. Each participant completed the Psychosocial Index to assess stress, well-being, psychological distress, and illness </w:t>
      </w:r>
      <w:proofErr w:type="spellStart"/>
      <w:r w:rsidRPr="00443F82">
        <w:rPr>
          <w:rFonts w:ascii="Garamond" w:hAnsi="Garamond"/>
          <w:sz w:val="24"/>
          <w:szCs w:val="24"/>
        </w:rPr>
        <w:t>behavior</w:t>
      </w:r>
      <w:proofErr w:type="spellEnd"/>
      <w:r w:rsidRPr="00443F82">
        <w:rPr>
          <w:rFonts w:ascii="Garamond" w:hAnsi="Garamond"/>
          <w:sz w:val="24"/>
          <w:szCs w:val="24"/>
        </w:rPr>
        <w:t>, the Impact of Event Scale – Revised to evaluate post-traumatic stress symptoms and, the Hospital Anxiety and Depression Scale to assess anxiety and depression; the Connor-Davidson Resilience Scale to assess resilience; and N scale of NEO Five Factor to assess “Neuroticism”.</w:t>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t xml:space="preserve">          Results. More than half of patients showed clinical or subclinical anxiety and depressive symptoms. Post-traumatic stress symptoms were found in 58.3% of sample. Resilience levels were in a medium range (71.0 ± 15.2). Statistical analysis found a predominance of depressive symptomatology (p = 0.0453), hyperarousal manifestations (p = 0.0049), perception of stress (p = 0.0001) and trait of neuroticism in women (p &lt; 0.0001). Our results show psychological distress, post-traumatic symptoms, poor psychological well-being, </w:t>
      </w:r>
      <w:proofErr w:type="gramStart"/>
      <w:r w:rsidRPr="00443F82">
        <w:rPr>
          <w:rFonts w:ascii="Garamond" w:hAnsi="Garamond"/>
          <w:sz w:val="24"/>
          <w:szCs w:val="24"/>
        </w:rPr>
        <w:t>depression</w:t>
      </w:r>
      <w:proofErr w:type="gramEnd"/>
      <w:r w:rsidRPr="00443F82">
        <w:rPr>
          <w:rFonts w:ascii="Garamond" w:hAnsi="Garamond"/>
          <w:sz w:val="24"/>
          <w:szCs w:val="24"/>
        </w:rPr>
        <w:t xml:space="preserve"> and anxiety symptoms for several weeks after infection in patients who had COVID-19. Moreover, female outpatients had a higher perception of distress, hyperarousal manifestations and depressive symptomatology than the male counterpart.                    </w:t>
      </w:r>
      <w:r w:rsidRPr="00443F82">
        <w:rPr>
          <w:rFonts w:ascii="Garamond" w:hAnsi="Garamond"/>
          <w:sz w:val="24"/>
          <w:szCs w:val="24"/>
        </w:rPr>
        <w:tab/>
        <w:t xml:space="preserve">               Conclusions. As a novelty, this study gives us a deeper understanding of the psychological </w:t>
      </w:r>
      <w:proofErr w:type="gramStart"/>
      <w:r w:rsidRPr="00443F82">
        <w:rPr>
          <w:rFonts w:ascii="Garamond" w:hAnsi="Garamond"/>
          <w:sz w:val="24"/>
          <w:szCs w:val="24"/>
        </w:rPr>
        <w:t>Post-COVID</w:t>
      </w:r>
      <w:proofErr w:type="gramEnd"/>
      <w:r w:rsidRPr="00443F82">
        <w:rPr>
          <w:rFonts w:ascii="Garamond" w:hAnsi="Garamond"/>
          <w:sz w:val="24"/>
          <w:szCs w:val="24"/>
        </w:rPr>
        <w:t>-19 profile in a clinical sample of pneumological outpatients. Moreover, it focused on gender differences identifying the female gender as a risk factor with respect to psychological illness. Our findings suggest the relevance of planning personalized interventions and assessment aimed at higher psychopathological risk groups, such as females.</w:t>
      </w:r>
    </w:p>
    <w:p w14:paraId="11C6EAF5" w14:textId="13CE527D" w:rsidR="009C108C" w:rsidRPr="00EA5EC0" w:rsidRDefault="00721207" w:rsidP="00443F82">
      <w:pPr>
        <w:spacing w:line="360" w:lineRule="auto"/>
        <w:jc w:val="both"/>
        <w:rPr>
          <w:rFonts w:ascii="Garamond" w:hAnsi="Garamond"/>
          <w:sz w:val="24"/>
          <w:szCs w:val="24"/>
        </w:rPr>
      </w:pPr>
      <w:r w:rsidRPr="00443F82">
        <w:rPr>
          <w:rFonts w:ascii="Garamond" w:hAnsi="Garamond"/>
          <w:b/>
          <w:bCs/>
          <w:sz w:val="24"/>
          <w:szCs w:val="24"/>
        </w:rPr>
        <w:t>Keywords:</w:t>
      </w:r>
      <w:r w:rsidR="001D44C4" w:rsidRPr="00443F82">
        <w:rPr>
          <w:rFonts w:ascii="Garamond" w:hAnsi="Garamond"/>
          <w:b/>
          <w:bCs/>
          <w:sz w:val="24"/>
          <w:szCs w:val="24"/>
        </w:rPr>
        <w:t xml:space="preserve"> </w:t>
      </w:r>
      <w:r w:rsidR="00425E0F" w:rsidRPr="00443F82">
        <w:rPr>
          <w:rFonts w:ascii="Garamond" w:hAnsi="Garamond"/>
          <w:sz w:val="24"/>
          <w:szCs w:val="24"/>
        </w:rPr>
        <w:t xml:space="preserve">gender; </w:t>
      </w:r>
      <w:r w:rsidR="00890EE7" w:rsidRPr="00443F82">
        <w:rPr>
          <w:rFonts w:ascii="Garamond" w:hAnsi="Garamond"/>
          <w:sz w:val="24"/>
          <w:szCs w:val="24"/>
        </w:rPr>
        <w:t>medical setting</w:t>
      </w:r>
      <w:r w:rsidR="00425E0F" w:rsidRPr="00443F82">
        <w:rPr>
          <w:rFonts w:ascii="Garamond" w:hAnsi="Garamond"/>
          <w:sz w:val="24"/>
          <w:szCs w:val="24"/>
        </w:rPr>
        <w:t xml:space="preserve">; </w:t>
      </w:r>
      <w:proofErr w:type="gramStart"/>
      <w:r w:rsidR="00890EE7" w:rsidRPr="00443F82">
        <w:rPr>
          <w:rFonts w:ascii="Garamond" w:hAnsi="Garamond"/>
          <w:sz w:val="24"/>
          <w:szCs w:val="24"/>
        </w:rPr>
        <w:t>Post-COVID</w:t>
      </w:r>
      <w:proofErr w:type="gramEnd"/>
      <w:r w:rsidR="00890EE7" w:rsidRPr="00443F82">
        <w:rPr>
          <w:rFonts w:ascii="Garamond" w:hAnsi="Garamond"/>
          <w:sz w:val="24"/>
          <w:szCs w:val="24"/>
        </w:rPr>
        <w:t xml:space="preserve"> syndrome</w:t>
      </w:r>
      <w:r w:rsidR="00425E0F" w:rsidRPr="00443F82">
        <w:rPr>
          <w:rFonts w:ascii="Garamond" w:hAnsi="Garamond"/>
          <w:sz w:val="24"/>
          <w:szCs w:val="24"/>
        </w:rPr>
        <w:t xml:space="preserve">; </w:t>
      </w:r>
      <w:r w:rsidR="00890EE7" w:rsidRPr="00443F82">
        <w:rPr>
          <w:rFonts w:ascii="Garamond" w:hAnsi="Garamond"/>
          <w:sz w:val="24"/>
          <w:szCs w:val="24"/>
        </w:rPr>
        <w:t>outpatients</w:t>
      </w:r>
      <w:r w:rsidR="00425E0F" w:rsidRPr="00443F82">
        <w:rPr>
          <w:rFonts w:ascii="Garamond" w:hAnsi="Garamond"/>
          <w:sz w:val="24"/>
          <w:szCs w:val="24"/>
        </w:rPr>
        <w:t xml:space="preserve">; </w:t>
      </w:r>
      <w:r w:rsidR="00890EE7" w:rsidRPr="00443F82">
        <w:rPr>
          <w:rFonts w:ascii="Garamond" w:hAnsi="Garamond"/>
          <w:sz w:val="24"/>
          <w:szCs w:val="24"/>
        </w:rPr>
        <w:t>psychological profile</w:t>
      </w:r>
    </w:p>
    <w:p w14:paraId="6025AD99" w14:textId="77777777" w:rsidR="00EA5EC0" w:rsidRDefault="00EA5EC0" w:rsidP="00443F82">
      <w:pPr>
        <w:spacing w:line="360" w:lineRule="auto"/>
        <w:jc w:val="both"/>
        <w:rPr>
          <w:rFonts w:ascii="Garamond" w:hAnsi="Garamond"/>
          <w:b/>
          <w:bCs/>
          <w:sz w:val="24"/>
          <w:szCs w:val="24"/>
        </w:rPr>
      </w:pPr>
    </w:p>
    <w:p w14:paraId="297D5D96" w14:textId="535788BD" w:rsidR="00D50C4A" w:rsidRPr="00443F82" w:rsidRDefault="00FB3001" w:rsidP="00443F82">
      <w:pPr>
        <w:spacing w:line="360" w:lineRule="auto"/>
        <w:jc w:val="both"/>
        <w:rPr>
          <w:rFonts w:ascii="Garamond" w:hAnsi="Garamond"/>
          <w:b/>
          <w:bCs/>
          <w:sz w:val="24"/>
          <w:szCs w:val="24"/>
        </w:rPr>
      </w:pPr>
      <w:r w:rsidRPr="00443F82">
        <w:rPr>
          <w:rFonts w:ascii="Garamond" w:hAnsi="Garamond"/>
          <w:b/>
          <w:bCs/>
          <w:sz w:val="24"/>
          <w:szCs w:val="24"/>
        </w:rPr>
        <w:t xml:space="preserve">Authors guidelines acknowledgement: </w:t>
      </w:r>
      <w:r w:rsidR="00CD569B" w:rsidRPr="00CD569B">
        <w:rPr>
          <w:rFonts w:ascii="Garamond" w:hAnsi="Garamond"/>
          <w:sz w:val="24"/>
          <w:szCs w:val="24"/>
        </w:rPr>
        <w:t>All authors declare that they accept all the points stipulated in reference to the submission (author guidelines).</w:t>
      </w:r>
    </w:p>
    <w:p w14:paraId="2D68AE61" w14:textId="77777777" w:rsidR="00CD569B" w:rsidRDefault="00CD569B" w:rsidP="00443F82">
      <w:pPr>
        <w:spacing w:line="360" w:lineRule="auto"/>
        <w:jc w:val="both"/>
        <w:rPr>
          <w:rFonts w:ascii="Garamond" w:eastAsia="Times New Roman" w:hAnsi="Garamond" w:cs="Times New Roman"/>
          <w:b/>
          <w:color w:val="202020"/>
          <w:sz w:val="24"/>
          <w:szCs w:val="24"/>
          <w:lang w:eastAsia="it-IT"/>
        </w:rPr>
      </w:pPr>
    </w:p>
    <w:p w14:paraId="59BBCAC9" w14:textId="35483010" w:rsidR="00425E0F" w:rsidRPr="00443F82" w:rsidRDefault="00425E0F" w:rsidP="00443F82">
      <w:pPr>
        <w:spacing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Background</w:t>
      </w:r>
    </w:p>
    <w:p w14:paraId="145F7516"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2D1B8E55" w14:textId="0A54F1A4"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highlight w:val="white"/>
          <w:lang w:val="en-US" w:eastAsia="it-IT"/>
        </w:rPr>
        <w:t xml:space="preserve">The World Health Organization (WHO), on 11th March 2020, declared a global pandemic, due to the rapid spread of Coronavirus Disease SARS-CoV-2 (Coronavirus </w:t>
      </w:r>
      <w:r w:rsidRPr="00443F82">
        <w:rPr>
          <w:rFonts w:ascii="Garamond" w:eastAsia="Times New Roman" w:hAnsi="Garamond" w:cs="Times New Roman"/>
          <w:color w:val="202020"/>
          <w:sz w:val="24"/>
          <w:szCs w:val="24"/>
          <w:lang w:val="en-US" w:eastAsia="it-IT"/>
        </w:rPr>
        <w:t>Disease-19, CO</w:t>
      </w:r>
      <w:r w:rsidRPr="00443F82">
        <w:rPr>
          <w:rFonts w:ascii="Garamond" w:eastAsia="Times New Roman" w:hAnsi="Garamond" w:cs="Times New Roman"/>
          <w:color w:val="202020"/>
          <w:sz w:val="24"/>
          <w:szCs w:val="24"/>
          <w:highlight w:val="white"/>
          <w:lang w:val="en-US" w:eastAsia="it-IT"/>
        </w:rPr>
        <w:t xml:space="preserve">VID-19) during the early 2020s. Italy was the first European country affected by the Coronavirus and, with more than </w:t>
      </w:r>
      <w:r w:rsidR="00B45E8B" w:rsidRPr="00443F82">
        <w:rPr>
          <w:rFonts w:ascii="Garamond" w:eastAsia="Times New Roman" w:hAnsi="Garamond" w:cs="Times New Roman"/>
          <w:color w:val="202020"/>
          <w:sz w:val="24"/>
          <w:szCs w:val="24"/>
          <w:lang w:val="en-US" w:eastAsia="it-IT"/>
        </w:rPr>
        <w:t xml:space="preserve">24.260.660 </w:t>
      </w:r>
      <w:r w:rsidRPr="00443F82">
        <w:rPr>
          <w:rFonts w:ascii="Garamond" w:eastAsia="Times New Roman" w:hAnsi="Garamond" w:cs="Times New Roman"/>
          <w:color w:val="202020"/>
          <w:sz w:val="24"/>
          <w:szCs w:val="24"/>
          <w:highlight w:val="white"/>
          <w:lang w:val="en-US" w:eastAsia="it-IT"/>
        </w:rPr>
        <w:t xml:space="preserve">confirmed cases from January 2020 to </w:t>
      </w:r>
      <w:r w:rsidR="00B45E8B" w:rsidRPr="00443F82">
        <w:rPr>
          <w:rFonts w:ascii="Garamond" w:eastAsia="Times New Roman" w:hAnsi="Garamond" w:cs="Times New Roman"/>
          <w:color w:val="202020"/>
          <w:sz w:val="24"/>
          <w:szCs w:val="24"/>
          <w:highlight w:val="white"/>
          <w:lang w:val="en-US" w:eastAsia="it-IT"/>
        </w:rPr>
        <w:t>December</w:t>
      </w:r>
      <w:r w:rsidRPr="00443F82">
        <w:rPr>
          <w:rFonts w:ascii="Garamond" w:eastAsia="Times New Roman" w:hAnsi="Garamond" w:cs="Times New Roman"/>
          <w:color w:val="202020"/>
          <w:sz w:val="24"/>
          <w:szCs w:val="24"/>
          <w:highlight w:val="white"/>
          <w:lang w:val="en-US" w:eastAsia="it-IT"/>
        </w:rPr>
        <w:t xml:space="preserve"> 2022 </w:t>
      </w:r>
      <w:r w:rsidR="00DB5C68" w:rsidRPr="00443F82">
        <w:rPr>
          <w:rFonts w:ascii="Garamond" w:eastAsia="Times New Roman" w:hAnsi="Garamond" w:cs="Times New Roman"/>
          <w:color w:val="202020"/>
          <w:sz w:val="24"/>
          <w:szCs w:val="24"/>
          <w:lang w:val="en-US" w:eastAsia="it-IT"/>
        </w:rPr>
        <w:t>(WHO, 2022)</w:t>
      </w:r>
      <w:r w:rsidRPr="00443F82">
        <w:rPr>
          <w:rFonts w:ascii="Garamond" w:eastAsia="Times New Roman" w:hAnsi="Garamond" w:cs="Times New Roman"/>
          <w:color w:val="202020"/>
          <w:sz w:val="24"/>
          <w:szCs w:val="24"/>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also one of the most afflicted in the world. During the pandemic a negative effect on psychological health was observed </w:t>
      </w:r>
      <w:r w:rsidR="00467667" w:rsidRPr="00443F82">
        <w:rPr>
          <w:rFonts w:ascii="Garamond" w:eastAsia="Times New Roman" w:hAnsi="Garamond" w:cs="Times New Roman"/>
          <w:color w:val="202020"/>
          <w:sz w:val="24"/>
          <w:szCs w:val="24"/>
          <w:lang w:val="en-US" w:eastAsia="it-IT"/>
        </w:rPr>
        <w:t>(</w:t>
      </w:r>
      <w:proofErr w:type="spellStart"/>
      <w:r w:rsidR="00467667" w:rsidRPr="00443F82">
        <w:rPr>
          <w:rFonts w:ascii="Garamond" w:hAnsi="Garamond" w:cs="Segoe UI"/>
          <w:color w:val="212121"/>
          <w:sz w:val="24"/>
          <w:szCs w:val="24"/>
          <w:shd w:val="clear" w:color="auto" w:fill="FFFFFF"/>
        </w:rPr>
        <w:t>Cénat</w:t>
      </w:r>
      <w:proofErr w:type="spellEnd"/>
      <w:r w:rsidR="00467667" w:rsidRPr="00443F82">
        <w:rPr>
          <w:rFonts w:ascii="Garamond" w:eastAsia="Times New Roman" w:hAnsi="Garamond" w:cs="Times New Roman"/>
          <w:color w:val="202020"/>
          <w:sz w:val="24"/>
          <w:szCs w:val="24"/>
          <w:highlight w:val="white"/>
          <w:lang w:val="en-US" w:eastAsia="it-IT"/>
        </w:rPr>
        <w:t xml:space="preserve"> et al., </w:t>
      </w:r>
      <w:r w:rsidR="00467667" w:rsidRPr="00443F82">
        <w:rPr>
          <w:rFonts w:ascii="Garamond" w:eastAsia="Times New Roman" w:hAnsi="Garamond" w:cs="Times New Roman"/>
          <w:color w:val="202020"/>
          <w:sz w:val="24"/>
          <w:szCs w:val="24"/>
          <w:highlight w:val="white"/>
          <w:lang w:val="en-US" w:eastAsia="it-IT"/>
        </w:rPr>
        <w:lastRenderedPageBreak/>
        <w:t>2021; Lopez et al.</w:t>
      </w:r>
      <w:r w:rsidRPr="00443F82">
        <w:rPr>
          <w:rFonts w:ascii="Garamond" w:eastAsia="Times New Roman" w:hAnsi="Garamond" w:cs="Times New Roman"/>
          <w:color w:val="202020"/>
          <w:sz w:val="24"/>
          <w:szCs w:val="24"/>
          <w:highlight w:val="white"/>
          <w:lang w:val="en-US" w:eastAsia="it-IT"/>
        </w:rPr>
        <w:t>,</w:t>
      </w:r>
      <w:r w:rsidR="00467667" w:rsidRPr="00443F82">
        <w:rPr>
          <w:rFonts w:ascii="Garamond" w:eastAsia="Times New Roman" w:hAnsi="Garamond" w:cs="Times New Roman"/>
          <w:color w:val="202020"/>
          <w:sz w:val="24"/>
          <w:szCs w:val="24"/>
          <w:highlight w:val="white"/>
          <w:lang w:val="en-US" w:eastAsia="it-IT"/>
        </w:rPr>
        <w:t xml:space="preserve"> 2021; Spano et al., 2021</w:t>
      </w:r>
      <w:r w:rsidR="00C70414">
        <w:rPr>
          <w:rFonts w:ascii="Garamond" w:eastAsia="Times New Roman" w:hAnsi="Garamond" w:cs="Times New Roman"/>
          <w:color w:val="202020"/>
          <w:sz w:val="24"/>
          <w:szCs w:val="24"/>
          <w:highlight w:val="white"/>
          <w:lang w:val="en-US" w:eastAsia="it-IT"/>
        </w:rPr>
        <w:t xml:space="preserve">; </w:t>
      </w:r>
      <w:proofErr w:type="spellStart"/>
      <w:r w:rsidR="00C70414" w:rsidRPr="00C70414">
        <w:rPr>
          <w:rFonts w:ascii="Garamond" w:eastAsia="Times New Roman" w:hAnsi="Garamond" w:cs="Times New Roman"/>
          <w:color w:val="202020"/>
          <w:sz w:val="24"/>
          <w:szCs w:val="24"/>
          <w:lang w:val="en-US" w:eastAsia="it-IT"/>
        </w:rPr>
        <w:t>Procacci</w:t>
      </w:r>
      <w:r w:rsidR="00C70414">
        <w:rPr>
          <w:rFonts w:ascii="Garamond" w:eastAsia="Times New Roman" w:hAnsi="Garamond" w:cs="Times New Roman"/>
          <w:color w:val="202020"/>
          <w:sz w:val="24"/>
          <w:szCs w:val="24"/>
          <w:lang w:val="en-US" w:eastAsia="it-IT"/>
        </w:rPr>
        <w:t>a</w:t>
      </w:r>
      <w:proofErr w:type="spellEnd"/>
      <w:r w:rsidR="00C70414">
        <w:rPr>
          <w:rFonts w:ascii="Garamond" w:eastAsia="Times New Roman" w:hAnsi="Garamond" w:cs="Times New Roman"/>
          <w:color w:val="202020"/>
          <w:sz w:val="24"/>
          <w:szCs w:val="24"/>
          <w:lang w:val="en-US" w:eastAsia="it-IT"/>
        </w:rPr>
        <w:t xml:space="preserve">, </w:t>
      </w:r>
      <w:r w:rsidR="00C70414" w:rsidRPr="00C70414">
        <w:rPr>
          <w:rFonts w:ascii="Garamond" w:eastAsia="Times New Roman" w:hAnsi="Garamond" w:cs="Times New Roman"/>
          <w:color w:val="202020"/>
          <w:sz w:val="24"/>
          <w:szCs w:val="24"/>
          <w:lang w:val="en-US" w:eastAsia="it-IT"/>
        </w:rPr>
        <w:t xml:space="preserve">Segre </w:t>
      </w:r>
      <w:r w:rsidR="00C70414">
        <w:rPr>
          <w:rFonts w:ascii="Garamond" w:eastAsia="Times New Roman" w:hAnsi="Garamond" w:cs="Times New Roman"/>
          <w:color w:val="202020"/>
          <w:sz w:val="24"/>
          <w:szCs w:val="24"/>
          <w:lang w:val="en-US" w:eastAsia="it-IT"/>
        </w:rPr>
        <w:t xml:space="preserve">&amp; </w:t>
      </w:r>
      <w:r w:rsidR="00C70414" w:rsidRPr="00C70414">
        <w:rPr>
          <w:rFonts w:ascii="Garamond" w:eastAsia="Times New Roman" w:hAnsi="Garamond" w:cs="Times New Roman"/>
          <w:color w:val="202020"/>
          <w:sz w:val="24"/>
          <w:szCs w:val="24"/>
          <w:lang w:val="en-US" w:eastAsia="it-IT"/>
        </w:rPr>
        <w:t>Manzoni</w:t>
      </w:r>
      <w:r w:rsidR="00C70414">
        <w:rPr>
          <w:rFonts w:ascii="Garamond" w:eastAsia="Times New Roman" w:hAnsi="Garamond" w:cs="Times New Roman"/>
          <w:color w:val="202020"/>
          <w:sz w:val="24"/>
          <w:szCs w:val="24"/>
          <w:lang w:val="en-US" w:eastAsia="it-IT"/>
        </w:rPr>
        <w:t>, 2022</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Specifically, people who experience SARS-CoV-2 infection and COVID-19 disease symptoms face stressful situations that may increase their emotional vulnerability and the onset of psychological illness and psychiatric syndromes </w:t>
      </w:r>
      <w:r w:rsidR="00467667" w:rsidRPr="00443F82">
        <w:rPr>
          <w:rFonts w:ascii="Garamond" w:eastAsia="Times New Roman" w:hAnsi="Garamond" w:cs="Times New Roman"/>
          <w:color w:val="202020"/>
          <w:sz w:val="24"/>
          <w:szCs w:val="24"/>
          <w:highlight w:val="white"/>
          <w:lang w:val="en-US" w:eastAsia="it-IT"/>
        </w:rPr>
        <w:t>(Sun et al., 2021)</w:t>
      </w:r>
      <w:r w:rsidRPr="00443F82">
        <w:rPr>
          <w:rFonts w:ascii="Garamond" w:eastAsia="Times New Roman" w:hAnsi="Garamond" w:cs="Times New Roman"/>
          <w:color w:val="202020"/>
          <w:sz w:val="24"/>
          <w:szCs w:val="24"/>
          <w:highlight w:val="white"/>
          <w:lang w:val="en-US" w:eastAsia="it-IT"/>
        </w:rPr>
        <w:t xml:space="preserve">, particularly in patients who experienced hospitalization in Intensive Care Units (ICU) </w:t>
      </w:r>
      <w:r w:rsidR="00467667" w:rsidRPr="00443F82">
        <w:rPr>
          <w:rFonts w:ascii="Garamond" w:eastAsia="Times New Roman" w:hAnsi="Garamond" w:cs="Times New Roman"/>
          <w:color w:val="202020"/>
          <w:sz w:val="24"/>
          <w:szCs w:val="24"/>
          <w:highlight w:val="white"/>
          <w:lang w:val="en-US" w:eastAsia="it-IT"/>
        </w:rPr>
        <w:t>(Dong et al., 2021)</w:t>
      </w:r>
      <w:r w:rsidRPr="00443F82">
        <w:rPr>
          <w:rFonts w:ascii="Garamond" w:eastAsia="Times New Roman" w:hAnsi="Garamond" w:cs="Times New Roman"/>
          <w:color w:val="202020"/>
          <w:sz w:val="24"/>
          <w:szCs w:val="24"/>
          <w:highlight w:val="white"/>
          <w:lang w:val="en-US" w:eastAsia="it-IT"/>
        </w:rPr>
        <w:t xml:space="preserve">. A meta-analysis showed that more than 40% of patients affected by COVID-19 had depression or anxiety, and a third had sleep disorders </w:t>
      </w:r>
      <w:r w:rsidR="00467667" w:rsidRPr="00443F82">
        <w:rPr>
          <w:rFonts w:ascii="Garamond" w:eastAsia="Times New Roman" w:hAnsi="Garamond" w:cs="Times New Roman"/>
          <w:color w:val="202020"/>
          <w:sz w:val="24"/>
          <w:szCs w:val="24"/>
          <w:highlight w:val="white"/>
          <w:lang w:val="en-US" w:eastAsia="it-IT"/>
        </w:rPr>
        <w:t>(Deng et al., 2021)</w:t>
      </w:r>
      <w:r w:rsidRPr="00443F82">
        <w:rPr>
          <w:rFonts w:ascii="Garamond" w:eastAsia="Times New Roman" w:hAnsi="Garamond" w:cs="Times New Roman"/>
          <w:color w:val="202020"/>
          <w:sz w:val="24"/>
          <w:szCs w:val="24"/>
          <w:highlight w:val="white"/>
          <w:lang w:val="en-US" w:eastAsia="it-IT"/>
        </w:rPr>
        <w:t xml:space="preserve">. Patients recovering from the acute period of COVID-19 are subject to continued problems of extreme fatigue, psychological illness, and cognitive impairment </w:t>
      </w:r>
      <w:r w:rsidR="00467667" w:rsidRPr="00443F82">
        <w:rPr>
          <w:rFonts w:ascii="Garamond" w:eastAsia="Times New Roman" w:hAnsi="Garamond" w:cs="Times New Roman"/>
          <w:color w:val="202020"/>
          <w:sz w:val="24"/>
          <w:szCs w:val="24"/>
          <w:highlight w:val="white"/>
          <w:lang w:val="en-US" w:eastAsia="it-IT"/>
        </w:rPr>
        <w:t>(</w:t>
      </w:r>
      <w:proofErr w:type="spellStart"/>
      <w:r w:rsidR="00467667" w:rsidRPr="00443F82">
        <w:rPr>
          <w:rFonts w:ascii="Garamond" w:hAnsi="Garamond" w:cs="Segoe UI"/>
          <w:color w:val="212121"/>
          <w:sz w:val="24"/>
          <w:szCs w:val="24"/>
          <w:shd w:val="clear" w:color="auto" w:fill="FFFFFF"/>
        </w:rPr>
        <w:t>Amdal</w:t>
      </w:r>
      <w:proofErr w:type="spellEnd"/>
      <w:r w:rsidR="00467667" w:rsidRPr="00443F82">
        <w:rPr>
          <w:rFonts w:ascii="Garamond" w:hAnsi="Garamond" w:cs="Segoe UI"/>
          <w:color w:val="212121"/>
          <w:sz w:val="24"/>
          <w:szCs w:val="24"/>
          <w:shd w:val="clear" w:color="auto" w:fill="FFFFFF"/>
        </w:rPr>
        <w:t xml:space="preserve"> et al., 2021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lang w:val="en-US" w:eastAsia="it-IT"/>
        </w:rPr>
        <w:t xml:space="preserve">Survivors have a high prevalence of psychological and psychiatric disorders, for example post-traumatic stress symptoms, major depression, and anxiety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Sher, 2021</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Mazza and colleagues </w:t>
      </w:r>
      <w:r w:rsidR="00467667" w:rsidRPr="00443F82">
        <w:rPr>
          <w:rFonts w:ascii="Garamond" w:eastAsia="Times New Roman" w:hAnsi="Garamond" w:cs="Times New Roman"/>
          <w:color w:val="202020"/>
          <w:sz w:val="24"/>
          <w:szCs w:val="24"/>
          <w:highlight w:val="white"/>
          <w:lang w:val="en-US" w:eastAsia="it-IT"/>
        </w:rPr>
        <w:t>(2020)</w:t>
      </w:r>
      <w:r w:rsidRPr="00443F82">
        <w:rPr>
          <w:rFonts w:ascii="Garamond" w:eastAsia="Times New Roman" w:hAnsi="Garamond" w:cs="Times New Roman"/>
          <w:color w:val="202020"/>
          <w:sz w:val="24"/>
          <w:szCs w:val="24"/>
          <w:highlight w:val="white"/>
          <w:lang w:val="en-US" w:eastAsia="it-IT"/>
        </w:rPr>
        <w:t xml:space="preserve"> showed that 1 month after inpatient treatment </w:t>
      </w:r>
      <w:proofErr w:type="gramStart"/>
      <w:r w:rsidRPr="00443F82">
        <w:rPr>
          <w:rFonts w:ascii="Garamond" w:eastAsia="Times New Roman" w:hAnsi="Garamond" w:cs="Times New Roman"/>
          <w:color w:val="202020"/>
          <w:sz w:val="24"/>
          <w:szCs w:val="24"/>
          <w:highlight w:val="white"/>
          <w:lang w:val="en-US" w:eastAsia="it-IT"/>
        </w:rPr>
        <w:t>a large number of</w:t>
      </w:r>
      <w:proofErr w:type="gramEnd"/>
      <w:r w:rsidRPr="00443F82">
        <w:rPr>
          <w:rFonts w:ascii="Garamond" w:eastAsia="Times New Roman" w:hAnsi="Garamond" w:cs="Times New Roman"/>
          <w:color w:val="202020"/>
          <w:sz w:val="24"/>
          <w:szCs w:val="24"/>
          <w:highlight w:val="white"/>
          <w:lang w:val="en-US" w:eastAsia="it-IT"/>
        </w:rPr>
        <w:t xml:space="preserve"> patients reported clinically significant symptoms, specifically 28% for Post-Traumatic Stress Disorder (PTSD), 31% for depression, 42% for anxiety, 20% for obsessive-compulsive symptoms, and 40% for insomnia. Other symptoms frequently reported after discharge are headache, muscle myalgia, articular pains, loss of concent</w:t>
      </w:r>
      <w:r w:rsidRPr="00443F82">
        <w:rPr>
          <w:rFonts w:ascii="Garamond" w:eastAsia="Times New Roman" w:hAnsi="Garamond" w:cs="Times New Roman"/>
          <w:color w:val="202020"/>
          <w:sz w:val="24"/>
          <w:szCs w:val="24"/>
          <w:lang w:val="en-US" w:eastAsia="it-IT"/>
        </w:rPr>
        <w:t xml:space="preserve">ration </w:t>
      </w:r>
      <w:r w:rsidR="00467667" w:rsidRPr="00443F82">
        <w:rPr>
          <w:rFonts w:ascii="Garamond" w:eastAsia="Times New Roman" w:hAnsi="Garamond" w:cs="Times New Roman"/>
          <w:color w:val="202020"/>
          <w:sz w:val="24"/>
          <w:szCs w:val="24"/>
          <w:lang w:val="en-US" w:eastAsia="it-IT"/>
        </w:rPr>
        <w:t>(</w:t>
      </w:r>
      <w:proofErr w:type="spellStart"/>
      <w:r w:rsidR="00467667" w:rsidRPr="00443F82">
        <w:rPr>
          <w:rFonts w:ascii="Garamond" w:eastAsia="Times New Roman" w:hAnsi="Garamond" w:cs="Times New Roman"/>
          <w:color w:val="202020"/>
          <w:sz w:val="24"/>
          <w:szCs w:val="24"/>
          <w:lang w:val="en-US" w:eastAsia="it-IT"/>
        </w:rPr>
        <w:t>Orrù</w:t>
      </w:r>
      <w:proofErr w:type="spellEnd"/>
      <w:r w:rsidR="00467667" w:rsidRPr="00443F82">
        <w:rPr>
          <w:rFonts w:ascii="Garamond" w:eastAsia="Times New Roman" w:hAnsi="Garamond" w:cs="Times New Roman"/>
          <w:color w:val="202020"/>
          <w:sz w:val="24"/>
          <w:szCs w:val="24"/>
          <w:lang w:val="en-US" w:eastAsia="it-IT"/>
        </w:rPr>
        <w:t xml:space="preserve"> et al., 2021)</w:t>
      </w:r>
      <w:r w:rsidRPr="00443F82">
        <w:rPr>
          <w:rFonts w:ascii="Garamond" w:eastAsia="Times New Roman" w:hAnsi="Garamond" w:cs="Times New Roman"/>
          <w:color w:val="202020"/>
          <w:sz w:val="24"/>
          <w:szCs w:val="24"/>
          <w:lang w:val="en-US" w:eastAsia="it-IT"/>
        </w:rPr>
        <w:t xml:space="preserve">. The conditions described above have been called </w:t>
      </w:r>
      <w:proofErr w:type="gramStart"/>
      <w:r w:rsidRPr="00443F82">
        <w:rPr>
          <w:rFonts w:ascii="Garamond" w:eastAsia="Times New Roman" w:hAnsi="Garamond" w:cs="Times New Roman"/>
          <w:color w:val="202020"/>
          <w:sz w:val="24"/>
          <w:szCs w:val="24"/>
          <w:lang w:val="en-US" w:eastAsia="it-IT"/>
        </w:rPr>
        <w:t>Post-COVID</w:t>
      </w:r>
      <w:proofErr w:type="gramEnd"/>
      <w:r w:rsidRPr="00443F82">
        <w:rPr>
          <w:rFonts w:ascii="Garamond" w:eastAsia="Times New Roman" w:hAnsi="Garamond" w:cs="Times New Roman"/>
          <w:color w:val="202020"/>
          <w:sz w:val="24"/>
          <w:szCs w:val="24"/>
          <w:lang w:val="en-US" w:eastAsia="it-IT"/>
        </w:rPr>
        <w:t xml:space="preserve"> syndrome, long COVID, or post-acute COVID-19 </w:t>
      </w:r>
      <w:r w:rsidR="00467667" w:rsidRPr="00443F82">
        <w:rPr>
          <w:rFonts w:ascii="Garamond" w:eastAsia="Times New Roman" w:hAnsi="Garamond" w:cs="Times New Roman"/>
          <w:color w:val="202020"/>
          <w:sz w:val="24"/>
          <w:szCs w:val="24"/>
          <w:lang w:val="en-US" w:eastAsia="it-IT"/>
        </w:rPr>
        <w:t>(Sher, 2021)</w:t>
      </w:r>
      <w:r w:rsidRPr="00443F82">
        <w:rPr>
          <w:rFonts w:ascii="Garamond" w:eastAsia="Times New Roman" w:hAnsi="Garamond" w:cs="Times New Roman"/>
          <w:color w:val="202020"/>
          <w:sz w:val="24"/>
          <w:szCs w:val="24"/>
          <w:lang w:val="en-US" w:eastAsia="it-IT"/>
        </w:rPr>
        <w:t>. The National Institute for Health and Care Excellence (NICE</w:t>
      </w:r>
      <w:r w:rsidR="00467667" w:rsidRPr="00443F82">
        <w:rPr>
          <w:rFonts w:ascii="Garamond" w:eastAsia="Times New Roman" w:hAnsi="Garamond" w:cs="Times New Roman"/>
          <w:color w:val="202020"/>
          <w:sz w:val="24"/>
          <w:szCs w:val="24"/>
          <w:lang w:val="en-US" w:eastAsia="it-IT"/>
        </w:rPr>
        <w:t xml:space="preserve">, 2022) </w:t>
      </w:r>
      <w:r w:rsidRPr="00443F82">
        <w:rPr>
          <w:rFonts w:ascii="Garamond" w:eastAsia="Times New Roman" w:hAnsi="Garamond" w:cs="Times New Roman"/>
          <w:color w:val="202020"/>
          <w:sz w:val="24"/>
          <w:szCs w:val="24"/>
          <w:lang w:val="en-US" w:eastAsia="it-IT"/>
        </w:rPr>
        <w:t xml:space="preserve">describes long COVID as suffering from symptoms that persist or develop following acute COVID-19 infection and could not be justified by other diagnosis. Specifically, when symptoms persist from 4 to 12 weeks it is referred to as long COVID, and if symptoms persist beyond 12 weeks after infection it is referred to as </w:t>
      </w:r>
      <w:proofErr w:type="gramStart"/>
      <w:r w:rsidRPr="00443F82">
        <w:rPr>
          <w:rFonts w:ascii="Garamond" w:eastAsia="Times New Roman" w:hAnsi="Garamond" w:cs="Times New Roman"/>
          <w:color w:val="202020"/>
          <w:sz w:val="24"/>
          <w:szCs w:val="24"/>
          <w:lang w:val="en-US" w:eastAsia="it-IT"/>
        </w:rPr>
        <w:t>Post-COVID</w:t>
      </w:r>
      <w:proofErr w:type="gramEnd"/>
      <w:r w:rsidRPr="00443F82">
        <w:rPr>
          <w:rFonts w:ascii="Garamond" w:eastAsia="Times New Roman" w:hAnsi="Garamond" w:cs="Times New Roman"/>
          <w:color w:val="202020"/>
          <w:sz w:val="24"/>
          <w:szCs w:val="24"/>
          <w:lang w:val="en-US" w:eastAsia="it-IT"/>
        </w:rPr>
        <w:t xml:space="preserve"> syndrome </w:t>
      </w:r>
      <w:r w:rsidR="00467667" w:rsidRPr="00443F82">
        <w:rPr>
          <w:rFonts w:ascii="Garamond" w:eastAsia="Times New Roman" w:hAnsi="Garamond" w:cs="Times New Roman"/>
          <w:color w:val="202020"/>
          <w:sz w:val="24"/>
          <w:szCs w:val="24"/>
          <w:lang w:val="en-US" w:eastAsia="it-IT"/>
        </w:rPr>
        <w:t>(</w:t>
      </w:r>
      <w:proofErr w:type="spellStart"/>
      <w:r w:rsidR="00467667" w:rsidRPr="00443F82">
        <w:rPr>
          <w:rFonts w:ascii="Garamond" w:eastAsia="Times New Roman" w:hAnsi="Garamond" w:cs="Times New Roman"/>
          <w:color w:val="202020"/>
          <w:sz w:val="24"/>
          <w:szCs w:val="24"/>
          <w:lang w:val="en-US" w:eastAsia="it-IT"/>
        </w:rPr>
        <w:t>Orrù</w:t>
      </w:r>
      <w:proofErr w:type="spellEnd"/>
      <w:r w:rsidR="00467667" w:rsidRPr="00443F82">
        <w:rPr>
          <w:rFonts w:ascii="Garamond" w:eastAsia="Times New Roman" w:hAnsi="Garamond" w:cs="Times New Roman"/>
          <w:color w:val="202020"/>
          <w:sz w:val="24"/>
          <w:szCs w:val="24"/>
          <w:lang w:val="en-US" w:eastAsia="it-IT"/>
        </w:rPr>
        <w:t xml:space="preserve"> et al., 2021; NICE, 2022)</w:t>
      </w:r>
      <w:r w:rsidRPr="00443F82">
        <w:rPr>
          <w:rFonts w:ascii="Garamond" w:eastAsia="Times New Roman" w:hAnsi="Garamond" w:cs="Times New Roman"/>
          <w:color w:val="202020"/>
          <w:sz w:val="24"/>
          <w:szCs w:val="24"/>
          <w:lang w:val="en-US" w:eastAsia="it-IT"/>
        </w:rPr>
        <w:t>. Long COVID is not only limited to survivors of hospital care and ICU admissions, but also a manifestation evident in those who were not hospitalized or did not immediately seek medica</w:t>
      </w:r>
      <w:r w:rsidRPr="00443F82">
        <w:rPr>
          <w:rFonts w:ascii="Garamond" w:eastAsia="Times New Roman" w:hAnsi="Garamond" w:cs="Times New Roman"/>
          <w:color w:val="202020"/>
          <w:sz w:val="24"/>
          <w:szCs w:val="24"/>
          <w:highlight w:val="white"/>
          <w:lang w:val="en-US" w:eastAsia="it-IT"/>
        </w:rPr>
        <w:t xml:space="preserve">l care </w:t>
      </w:r>
      <w:r w:rsidR="00467667" w:rsidRPr="00443F82">
        <w:rPr>
          <w:rFonts w:ascii="Garamond" w:eastAsia="Times New Roman" w:hAnsi="Garamond" w:cs="Times New Roman"/>
          <w:color w:val="202020"/>
          <w:sz w:val="24"/>
          <w:szCs w:val="24"/>
          <w:highlight w:val="white"/>
          <w:lang w:val="en-US" w:eastAsia="it-IT"/>
        </w:rPr>
        <w:t>(</w:t>
      </w:r>
      <w:proofErr w:type="spellStart"/>
      <w:r w:rsidR="00467667" w:rsidRPr="00443F82">
        <w:rPr>
          <w:rFonts w:ascii="Garamond" w:eastAsia="Times New Roman" w:hAnsi="Garamond" w:cs="Times New Roman"/>
          <w:color w:val="202020"/>
          <w:sz w:val="24"/>
          <w:szCs w:val="24"/>
          <w:highlight w:val="white"/>
          <w:lang w:val="en-US" w:eastAsia="it-IT"/>
        </w:rPr>
        <w:t>Crispo</w:t>
      </w:r>
      <w:proofErr w:type="spellEnd"/>
      <w:r w:rsidR="00467667" w:rsidRPr="00443F82">
        <w:rPr>
          <w:rFonts w:ascii="Garamond" w:eastAsia="Times New Roman" w:hAnsi="Garamond" w:cs="Times New Roman"/>
          <w:color w:val="202020"/>
          <w:sz w:val="24"/>
          <w:szCs w:val="24"/>
          <w:highlight w:val="white"/>
          <w:lang w:val="en-US" w:eastAsia="it-IT"/>
        </w:rPr>
        <w:t xml:space="preserve"> et al., 2021)</w:t>
      </w:r>
      <w:r w:rsidRPr="00443F82">
        <w:rPr>
          <w:rFonts w:ascii="Garamond" w:eastAsia="Times New Roman" w:hAnsi="Garamond" w:cs="Times New Roman"/>
          <w:color w:val="202020"/>
          <w:sz w:val="24"/>
          <w:szCs w:val="24"/>
          <w:highlight w:val="white"/>
          <w:lang w:val="en-US" w:eastAsia="it-IT"/>
        </w:rPr>
        <w:t>. These findings suggest that isolation, hospitalization, and the drama of health emergency could be extremely stressful experiences decisive in the onset of these symptoms. Compared to long COVID, the Post-COVID syndrome appears to be more pervasive and to be characterized by stabilization (or development) and persistence of the psychiatric, neurologic, and physical symptom clusters described above, beyond 12 weeks post-infection.</w:t>
      </w:r>
      <w:r w:rsidRPr="00443F82">
        <w:rPr>
          <w:rFonts w:ascii="Garamond" w:eastAsia="Times New Roman" w:hAnsi="Garamond" w:cs="Times New Roman"/>
          <w:color w:val="202020"/>
          <w:sz w:val="24"/>
          <w:szCs w:val="24"/>
          <w:lang w:val="en-US" w:eastAsia="it-IT"/>
        </w:rPr>
        <w:t xml:space="preserve"> Post-COVID Syndrome seems to affect approximately 60% of hospitalized COVID-19 survivors eight months after infection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Fernández-de-Las-</w:t>
      </w:r>
      <w:proofErr w:type="spellStart"/>
      <w:r w:rsidR="00467667" w:rsidRPr="00443F82">
        <w:rPr>
          <w:rFonts w:ascii="Garamond" w:hAnsi="Garamond" w:cs="Segoe UI"/>
          <w:color w:val="212121"/>
          <w:sz w:val="24"/>
          <w:szCs w:val="24"/>
          <w:shd w:val="clear" w:color="auto" w:fill="FFFFFF"/>
        </w:rPr>
        <w:t>Peñas</w:t>
      </w:r>
      <w:proofErr w:type="spellEnd"/>
      <w:r w:rsidR="00467667" w:rsidRPr="00443F82">
        <w:rPr>
          <w:rFonts w:ascii="Garamond" w:hAnsi="Garamond" w:cs="Segoe UI"/>
          <w:color w:val="212121"/>
          <w:sz w:val="24"/>
          <w:szCs w:val="24"/>
          <w:shd w:val="clear" w:color="auto" w:fill="FFFFFF"/>
        </w:rPr>
        <w:t xml:space="preserve"> et al., 2022</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Specifically, females were at increased risk of experiencing</w:t>
      </w:r>
      <w:r w:rsidRPr="00443F82">
        <w:rPr>
          <w:rFonts w:ascii="Garamond" w:eastAsia="Times New Roman" w:hAnsi="Garamond" w:cs="Times New Roman"/>
          <w:color w:val="202020"/>
          <w:sz w:val="24"/>
          <w:szCs w:val="24"/>
          <w:highlight w:val="white"/>
          <w:lang w:val="en-US" w:eastAsia="it-IT"/>
        </w:rPr>
        <w:t xml:space="preserve"> physical and neurologic manifestations reported to date include encephalopathy, stroke, anosmia, ageusia, vertigo, headache, Guillen-Barre syndrome, and musculoskeletal myalgia </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9</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Psychological and psychiatric conditions include anxiety and depression symptoms, posttraumatic distress, and sleep disorder </w:t>
      </w:r>
      <w:r w:rsidR="00467667" w:rsidRPr="00443F82">
        <w:rPr>
          <w:rFonts w:ascii="Garamond" w:eastAsia="Times New Roman" w:hAnsi="Garamond" w:cs="Times New Roman"/>
          <w:color w:val="202020"/>
          <w:sz w:val="24"/>
          <w:szCs w:val="24"/>
          <w:highlight w:val="white"/>
          <w:lang w:val="en-US" w:eastAsia="it-IT"/>
        </w:rPr>
        <w:t>(Sher, 2021;</w:t>
      </w:r>
      <w:r w:rsidRPr="00443F82">
        <w:rPr>
          <w:rFonts w:ascii="Garamond" w:eastAsia="Times New Roman" w:hAnsi="Garamond" w:cs="Times New Roman"/>
          <w:color w:val="202020"/>
          <w:sz w:val="24"/>
          <w:szCs w:val="24"/>
          <w:highlight w:val="white"/>
          <w:lang w:val="en-US" w:eastAsia="it-IT"/>
        </w:rPr>
        <w:t xml:space="preserve"> </w:t>
      </w:r>
      <w:proofErr w:type="spellStart"/>
      <w:r w:rsidR="00467667" w:rsidRPr="00443F82">
        <w:rPr>
          <w:rFonts w:ascii="Garamond" w:eastAsia="Times New Roman" w:hAnsi="Garamond" w:cs="Times New Roman"/>
          <w:color w:val="202020"/>
          <w:sz w:val="24"/>
          <w:szCs w:val="24"/>
          <w:highlight w:val="white"/>
          <w:lang w:val="en-US" w:eastAsia="it-IT"/>
        </w:rPr>
        <w:t>Orrù</w:t>
      </w:r>
      <w:proofErr w:type="spellEnd"/>
      <w:r w:rsidR="00467667" w:rsidRPr="00443F82">
        <w:rPr>
          <w:rFonts w:ascii="Garamond" w:eastAsia="Times New Roman" w:hAnsi="Garamond" w:cs="Times New Roman"/>
          <w:color w:val="202020"/>
          <w:sz w:val="24"/>
          <w:szCs w:val="24"/>
          <w:highlight w:val="white"/>
          <w:lang w:val="en-US" w:eastAsia="it-IT"/>
        </w:rPr>
        <w:t xml:space="preserve"> et al., 2021)</w:t>
      </w:r>
      <w:r w:rsidRPr="00443F82">
        <w:rPr>
          <w:rFonts w:ascii="Garamond" w:eastAsia="Times New Roman" w:hAnsi="Garamond" w:cs="Times New Roman"/>
          <w:color w:val="202020"/>
          <w:sz w:val="24"/>
          <w:szCs w:val="24"/>
          <w:highlight w:val="white"/>
          <w:lang w:val="en-US" w:eastAsia="it-IT"/>
        </w:rPr>
        <w:t xml:space="preserve">. Sher </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9</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hypothesizes that there is a high likelihood that psychiatric, neurological, and physical symptoms, along with inflammatory brain damage in individuals with </w:t>
      </w:r>
      <w:proofErr w:type="gramStart"/>
      <w:r w:rsidRPr="00443F82">
        <w:rPr>
          <w:rFonts w:ascii="Garamond" w:eastAsia="Times New Roman" w:hAnsi="Garamond" w:cs="Times New Roman"/>
          <w:color w:val="202020"/>
          <w:sz w:val="24"/>
          <w:szCs w:val="24"/>
          <w:highlight w:val="white"/>
          <w:lang w:val="en-US" w:eastAsia="it-IT"/>
        </w:rPr>
        <w:t>Post-COVID</w:t>
      </w:r>
      <w:proofErr w:type="gramEnd"/>
      <w:r w:rsidRPr="00443F82">
        <w:rPr>
          <w:rFonts w:ascii="Garamond" w:eastAsia="Times New Roman" w:hAnsi="Garamond" w:cs="Times New Roman"/>
          <w:color w:val="202020"/>
          <w:sz w:val="24"/>
          <w:szCs w:val="24"/>
          <w:highlight w:val="white"/>
          <w:lang w:val="en-US" w:eastAsia="it-IT"/>
        </w:rPr>
        <w:t xml:space="preserve"> syndrome may increase suicidal ideation and behavior. </w:t>
      </w:r>
      <w:r w:rsidRPr="00443F82">
        <w:rPr>
          <w:rFonts w:ascii="Garamond" w:eastAsia="Times New Roman" w:hAnsi="Garamond" w:cs="Times New Roman"/>
          <w:color w:val="202020"/>
          <w:sz w:val="24"/>
          <w:szCs w:val="24"/>
          <w:lang w:val="en-US" w:eastAsia="it-IT"/>
        </w:rPr>
        <w:t xml:space="preserve">Some studies have identified significant associations between </w:t>
      </w:r>
      <w:r w:rsidRPr="00443F82">
        <w:rPr>
          <w:rFonts w:ascii="Garamond" w:eastAsia="Times New Roman" w:hAnsi="Garamond" w:cs="Times New Roman"/>
          <w:color w:val="202020"/>
          <w:sz w:val="24"/>
          <w:szCs w:val="24"/>
          <w:lang w:val="en-US" w:eastAsia="it-IT"/>
        </w:rPr>
        <w:lastRenderedPageBreak/>
        <w:t>Post COVID-19 symptoms and some protective and risk factors. Recent literature suggests that female gender, hypertension and longer hospitalization were associated with higher risk of new o</w:t>
      </w:r>
      <w:r w:rsidRPr="00443F82">
        <w:rPr>
          <w:rFonts w:ascii="Garamond" w:eastAsia="Times New Roman" w:hAnsi="Garamond" w:cs="Times New Roman"/>
          <w:color w:val="202020"/>
          <w:sz w:val="24"/>
          <w:szCs w:val="24"/>
          <w:highlight w:val="white"/>
          <w:lang w:val="en-US" w:eastAsia="it-IT"/>
        </w:rPr>
        <w:t xml:space="preserve">r persistent symptoms and development of </w:t>
      </w:r>
      <w:proofErr w:type="gramStart"/>
      <w:r w:rsidRPr="00443F82">
        <w:rPr>
          <w:rFonts w:ascii="Garamond" w:eastAsia="Times New Roman" w:hAnsi="Garamond" w:cs="Times New Roman"/>
          <w:color w:val="202020"/>
          <w:sz w:val="24"/>
          <w:szCs w:val="24"/>
          <w:highlight w:val="white"/>
          <w:lang w:val="en-US" w:eastAsia="it-IT"/>
        </w:rPr>
        <w:t>Post-COVID</w:t>
      </w:r>
      <w:proofErr w:type="gramEnd"/>
      <w:r w:rsidRPr="00443F82">
        <w:rPr>
          <w:rFonts w:ascii="Garamond" w:eastAsia="Times New Roman" w:hAnsi="Garamond" w:cs="Times New Roman"/>
          <w:color w:val="202020"/>
          <w:sz w:val="24"/>
          <w:szCs w:val="24"/>
          <w:highlight w:val="white"/>
          <w:lang w:val="en-US" w:eastAsia="it-IT"/>
        </w:rPr>
        <w:t xml:space="preserve"> syndrome </w:t>
      </w:r>
      <w:r w:rsidR="00467667" w:rsidRPr="00443F82">
        <w:rPr>
          <w:rFonts w:ascii="Garamond" w:eastAsia="Times New Roman" w:hAnsi="Garamond" w:cs="Times New Roman"/>
          <w:color w:val="202020"/>
          <w:sz w:val="24"/>
          <w:szCs w:val="24"/>
          <w:highlight w:val="white"/>
          <w:lang w:val="en-US" w:eastAsia="it-IT"/>
        </w:rPr>
        <w:t>(</w:t>
      </w:r>
      <w:proofErr w:type="spellStart"/>
      <w:r w:rsidR="00467667" w:rsidRPr="00443F82">
        <w:rPr>
          <w:rFonts w:ascii="Garamond" w:hAnsi="Garamond" w:cs="Segoe UI"/>
          <w:color w:val="212121"/>
          <w:sz w:val="24"/>
          <w:szCs w:val="24"/>
          <w:shd w:val="clear" w:color="auto" w:fill="FFFFFF"/>
        </w:rPr>
        <w:t>Tleyjeh</w:t>
      </w:r>
      <w:proofErr w:type="spellEnd"/>
      <w:r w:rsidR="00467667" w:rsidRPr="00443F82">
        <w:rPr>
          <w:rFonts w:ascii="Garamond" w:hAnsi="Garamond" w:cs="Segoe UI"/>
          <w:color w:val="212121"/>
          <w:sz w:val="24"/>
          <w:szCs w:val="24"/>
          <w:shd w:val="clear" w:color="auto" w:fill="FFFFFF"/>
        </w:rPr>
        <w:t xml:space="preserve"> et al., 2021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lang w:val="en-US" w:eastAsia="it-IT"/>
        </w:rPr>
        <w:t xml:space="preserve">In an Italian sample </w:t>
      </w:r>
      <w:r w:rsidRPr="00443F82">
        <w:rPr>
          <w:rFonts w:ascii="Garamond" w:eastAsia="Times New Roman" w:hAnsi="Garamond" w:cs="Times New Roman"/>
          <w:color w:val="202020"/>
          <w:sz w:val="24"/>
          <w:szCs w:val="24"/>
          <w:highlight w:val="white"/>
          <w:lang w:val="en-US" w:eastAsia="it-IT"/>
        </w:rPr>
        <w:t xml:space="preserve">Bai and colleagues </w:t>
      </w:r>
      <w:r w:rsidR="00467667" w:rsidRPr="00443F82">
        <w:rPr>
          <w:rFonts w:ascii="Garamond" w:eastAsia="Times New Roman" w:hAnsi="Garamond" w:cs="Times New Roman"/>
          <w:color w:val="202020"/>
          <w:sz w:val="24"/>
          <w:szCs w:val="24"/>
          <w:highlight w:val="white"/>
          <w:lang w:val="en-US" w:eastAsia="it-IT"/>
        </w:rPr>
        <w:t>(Bai et al., 2022)</w:t>
      </w:r>
      <w:r w:rsidRPr="00443F82">
        <w:rPr>
          <w:rFonts w:ascii="Garamond" w:eastAsia="Times New Roman" w:hAnsi="Garamond" w:cs="Times New Roman"/>
          <w:color w:val="202020"/>
          <w:sz w:val="24"/>
          <w:szCs w:val="24"/>
          <w:highlight w:val="white"/>
          <w:lang w:val="en-US" w:eastAsia="it-IT"/>
        </w:rPr>
        <w:t xml:space="preserve"> reported that long COVID was diagnosed more frequently in women, in older patients and in active smokers. </w:t>
      </w:r>
      <w:r w:rsidRPr="00443F82">
        <w:rPr>
          <w:rFonts w:ascii="Garamond" w:eastAsia="Times New Roman" w:hAnsi="Garamond" w:cs="Times New Roman"/>
          <w:color w:val="202020"/>
          <w:sz w:val="24"/>
          <w:szCs w:val="24"/>
          <w:lang w:val="en-US" w:eastAsia="it-IT"/>
        </w:rPr>
        <w:t>A multicenter study by Fernández-de-las-</w:t>
      </w:r>
      <w:proofErr w:type="spellStart"/>
      <w:r w:rsidRPr="00443F82">
        <w:rPr>
          <w:rFonts w:ascii="Garamond" w:eastAsia="Times New Roman" w:hAnsi="Garamond" w:cs="Times New Roman"/>
          <w:color w:val="202020"/>
          <w:sz w:val="24"/>
          <w:szCs w:val="24"/>
          <w:lang w:val="en-US" w:eastAsia="it-IT"/>
        </w:rPr>
        <w:t>Peñas</w:t>
      </w:r>
      <w:proofErr w:type="spellEnd"/>
      <w:r w:rsidRPr="00443F82">
        <w:rPr>
          <w:rFonts w:ascii="Garamond" w:eastAsia="Times New Roman" w:hAnsi="Garamond" w:cs="Times New Roman"/>
          <w:color w:val="202020"/>
          <w:sz w:val="24"/>
          <w:szCs w:val="24"/>
          <w:lang w:val="en-US" w:eastAsia="it-IT"/>
        </w:rPr>
        <w:t xml:space="preserve"> and colleagues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2022</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carried out on 1969 patients, found that females were at increased risk of experiencing long-term </w:t>
      </w:r>
      <w:proofErr w:type="gramStart"/>
      <w:r w:rsidRPr="00443F82">
        <w:rPr>
          <w:rFonts w:ascii="Garamond" w:eastAsia="Times New Roman" w:hAnsi="Garamond" w:cs="Times New Roman"/>
          <w:color w:val="202020"/>
          <w:sz w:val="24"/>
          <w:szCs w:val="24"/>
          <w:lang w:val="en-US" w:eastAsia="it-IT"/>
        </w:rPr>
        <w:t>Post-COVID</w:t>
      </w:r>
      <w:proofErr w:type="gramEnd"/>
      <w:r w:rsidRPr="00443F82">
        <w:rPr>
          <w:rFonts w:ascii="Garamond" w:eastAsia="Times New Roman" w:hAnsi="Garamond" w:cs="Times New Roman"/>
          <w:color w:val="202020"/>
          <w:sz w:val="24"/>
          <w:szCs w:val="24"/>
          <w:lang w:val="en-US" w:eastAsia="it-IT"/>
        </w:rPr>
        <w:t xml:space="preserve"> symptoms including depression, anxiety, or low sleep quality compared to males, in the absence of gender differences at hospitalization. A meta-analysis of risk factors for long COVID confirmed the association between female gender and long COVID risk, also in longitudinal studies </w:t>
      </w:r>
      <w:r w:rsidR="00467667" w:rsidRPr="00443F82">
        <w:rPr>
          <w:rFonts w:ascii="Garamond" w:eastAsia="Times New Roman" w:hAnsi="Garamond" w:cs="Times New Roman"/>
          <w:color w:val="202020"/>
          <w:sz w:val="24"/>
          <w:szCs w:val="24"/>
          <w:lang w:val="en-US" w:eastAsia="it-IT"/>
        </w:rPr>
        <w:t>(</w:t>
      </w:r>
      <w:proofErr w:type="spellStart"/>
      <w:r w:rsidR="00467667" w:rsidRPr="00443F82">
        <w:rPr>
          <w:rFonts w:ascii="Garamond" w:hAnsi="Garamond" w:cs="Segoe UI"/>
          <w:color w:val="212121"/>
          <w:sz w:val="24"/>
          <w:szCs w:val="24"/>
          <w:shd w:val="clear" w:color="auto" w:fill="FFFFFF"/>
        </w:rPr>
        <w:t>Michelen</w:t>
      </w:r>
      <w:proofErr w:type="spellEnd"/>
      <w:r w:rsidR="00467667" w:rsidRPr="00443F82">
        <w:rPr>
          <w:rFonts w:ascii="Garamond" w:hAnsi="Garamond" w:cs="Segoe UI"/>
          <w:color w:val="212121"/>
          <w:sz w:val="24"/>
          <w:szCs w:val="24"/>
          <w:shd w:val="clear" w:color="auto" w:fill="FFFFFF"/>
        </w:rPr>
        <w:t xml:space="preserve"> et al., 2021</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w:t>
      </w:r>
    </w:p>
    <w:p w14:paraId="15301558" w14:textId="0F7E0C62" w:rsidR="00425E0F" w:rsidRPr="00443F82" w:rsidRDefault="00425E0F" w:rsidP="00443F82">
      <w:pPr>
        <w:spacing w:after="0" w:line="360" w:lineRule="auto"/>
        <w:jc w:val="both"/>
        <w:rPr>
          <w:rFonts w:ascii="Garamond" w:eastAsia="Times New Roman" w:hAnsi="Garamond" w:cs="Times New Roman"/>
          <w:color w:val="202020"/>
          <w:sz w:val="24"/>
          <w:szCs w:val="24"/>
          <w:highlight w:val="white"/>
          <w:lang w:val="en-US" w:eastAsia="it-IT"/>
        </w:rPr>
      </w:pPr>
      <w:r w:rsidRPr="00443F82">
        <w:rPr>
          <w:rFonts w:ascii="Garamond" w:eastAsia="Times New Roman" w:hAnsi="Garamond" w:cs="Times New Roman"/>
          <w:color w:val="202020"/>
          <w:sz w:val="24"/>
          <w:szCs w:val="24"/>
          <w:highlight w:val="white"/>
          <w:lang w:val="en-US" w:eastAsia="it-IT"/>
        </w:rPr>
        <w:t>Taken together, the burden of the Post COVID-19 syndrome should be viewed as a long-term potential cause of a major impact on the public health.</w:t>
      </w:r>
      <w:r w:rsidRPr="00443F82">
        <w:rPr>
          <w:rFonts w:ascii="Garamond" w:eastAsia="Times New Roman" w:hAnsi="Garamond" w:cs="Times New Roman"/>
          <w:color w:val="0000FF"/>
          <w:sz w:val="24"/>
          <w:szCs w:val="24"/>
          <w:highlight w:val="white"/>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Focusing on gender differences in the management of </w:t>
      </w:r>
      <w:proofErr w:type="gramStart"/>
      <w:r w:rsidRPr="00443F82">
        <w:rPr>
          <w:rFonts w:ascii="Garamond" w:eastAsia="Times New Roman" w:hAnsi="Garamond" w:cs="Times New Roman"/>
          <w:color w:val="202020"/>
          <w:sz w:val="24"/>
          <w:szCs w:val="24"/>
          <w:highlight w:val="white"/>
          <w:lang w:val="en-US" w:eastAsia="it-IT"/>
        </w:rPr>
        <w:t>Post-COVID</w:t>
      </w:r>
      <w:proofErr w:type="gramEnd"/>
      <w:r w:rsidRPr="00443F82">
        <w:rPr>
          <w:rFonts w:ascii="Garamond" w:eastAsia="Times New Roman" w:hAnsi="Garamond" w:cs="Times New Roman"/>
          <w:color w:val="202020"/>
          <w:sz w:val="24"/>
          <w:szCs w:val="24"/>
          <w:highlight w:val="white"/>
          <w:lang w:val="en-US" w:eastAsia="it-IT"/>
        </w:rPr>
        <w:t xml:space="preserve">-19 patients, is important to identify those most at risk of developing chronic or enduring symptoms. In fact, although mortality rates are higher for men due to life-threatening chronic diseases, health statistics show higher morbidity and health service utilization rates for women who have a nearly higher rate of disabling chronic conditions </w:t>
      </w:r>
      <w:r w:rsidR="00467667" w:rsidRPr="00443F82">
        <w:rPr>
          <w:rFonts w:ascii="Garamond" w:eastAsia="Times New Roman" w:hAnsi="Garamond" w:cs="Times New Roman"/>
          <w:color w:val="202020"/>
          <w:sz w:val="24"/>
          <w:szCs w:val="24"/>
          <w:highlight w:val="white"/>
          <w:lang w:val="en-US" w:eastAsia="it-IT"/>
        </w:rPr>
        <w:t>(</w:t>
      </w:r>
      <w:proofErr w:type="spellStart"/>
      <w:r w:rsidR="00467667" w:rsidRPr="00443F82">
        <w:rPr>
          <w:rFonts w:ascii="Garamond" w:hAnsi="Garamond" w:cs="Segoe UI"/>
          <w:color w:val="212121"/>
          <w:sz w:val="24"/>
          <w:szCs w:val="24"/>
          <w:shd w:val="clear" w:color="auto" w:fill="FFFFFF"/>
        </w:rPr>
        <w:t>Bertakis</w:t>
      </w:r>
      <w:proofErr w:type="spellEnd"/>
      <w:r w:rsidR="00467667" w:rsidRPr="00443F82">
        <w:rPr>
          <w:rFonts w:ascii="Garamond" w:hAnsi="Garamond" w:cs="Segoe UI"/>
          <w:color w:val="212121"/>
          <w:sz w:val="24"/>
          <w:szCs w:val="24"/>
          <w:shd w:val="clear" w:color="auto" w:fill="FFFFFF"/>
        </w:rPr>
        <w:t xml:space="preserve"> et al., 2000; Denton, </w:t>
      </w:r>
      <w:proofErr w:type="spellStart"/>
      <w:r w:rsidR="00467667" w:rsidRPr="00443F82">
        <w:rPr>
          <w:rFonts w:ascii="Garamond" w:hAnsi="Garamond" w:cs="Segoe UI"/>
          <w:color w:val="212121"/>
          <w:sz w:val="24"/>
          <w:szCs w:val="24"/>
          <w:shd w:val="clear" w:color="auto" w:fill="FFFFFF"/>
        </w:rPr>
        <w:t>Prus</w:t>
      </w:r>
      <w:proofErr w:type="spellEnd"/>
      <w:r w:rsidR="00467667" w:rsidRPr="00443F82">
        <w:rPr>
          <w:rFonts w:ascii="Garamond" w:hAnsi="Garamond" w:cs="Segoe UI"/>
          <w:color w:val="212121"/>
          <w:sz w:val="24"/>
          <w:szCs w:val="24"/>
          <w:shd w:val="clear" w:color="auto" w:fill="FFFFFF"/>
        </w:rPr>
        <w:t>, &amp; Walters, 2004;</w:t>
      </w:r>
      <w:r w:rsidR="00467667" w:rsidRPr="00443F82">
        <w:rPr>
          <w:rFonts w:ascii="Garamond" w:eastAsia="Times New Roman" w:hAnsi="Garamond" w:cs="Times New Roman"/>
          <w:color w:val="202020"/>
          <w:sz w:val="24"/>
          <w:szCs w:val="24"/>
          <w:highlight w:val="white"/>
          <w:lang w:val="en-US" w:eastAsia="it-IT"/>
        </w:rPr>
        <w:t xml:space="preserve"> </w:t>
      </w:r>
      <w:proofErr w:type="spellStart"/>
      <w:r w:rsidR="00467667" w:rsidRPr="00443F82">
        <w:rPr>
          <w:rFonts w:ascii="Garamond" w:hAnsi="Garamond" w:cs="Segoe UI"/>
          <w:color w:val="212121"/>
          <w:sz w:val="24"/>
          <w:szCs w:val="24"/>
          <w:shd w:val="clear" w:color="auto" w:fill="FFFFFF"/>
        </w:rPr>
        <w:t>Cherepanov</w:t>
      </w:r>
      <w:proofErr w:type="spellEnd"/>
      <w:r w:rsidR="00467667" w:rsidRPr="00443F82">
        <w:rPr>
          <w:rFonts w:ascii="Garamond" w:hAnsi="Garamond" w:cs="Segoe UI"/>
          <w:color w:val="212121"/>
          <w:sz w:val="24"/>
          <w:szCs w:val="24"/>
          <w:shd w:val="clear" w:color="auto" w:fill="FFFFFF"/>
        </w:rPr>
        <w:t xml:space="preserve"> et al., 2010; </w:t>
      </w:r>
      <w:proofErr w:type="spellStart"/>
      <w:r w:rsidR="00467667" w:rsidRPr="00443F82">
        <w:rPr>
          <w:rFonts w:ascii="Garamond" w:hAnsi="Garamond" w:cs="Segoe UI"/>
          <w:color w:val="212121"/>
          <w:sz w:val="24"/>
          <w:szCs w:val="24"/>
          <w:shd w:val="clear" w:color="auto" w:fill="FFFFFF"/>
        </w:rPr>
        <w:t>Cherepanov</w:t>
      </w:r>
      <w:proofErr w:type="spellEnd"/>
      <w:r w:rsidR="00467667" w:rsidRPr="00443F82">
        <w:rPr>
          <w:rFonts w:ascii="Garamond" w:hAnsi="Garamond" w:cs="Segoe UI"/>
          <w:color w:val="212121"/>
          <w:sz w:val="24"/>
          <w:szCs w:val="24"/>
          <w:shd w:val="clear" w:color="auto" w:fill="FFFFFF"/>
        </w:rPr>
        <w:t xml:space="preserve"> et al., 2011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p>
    <w:p w14:paraId="70AF88DD" w14:textId="124C5748"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To the best of our knowledge,</w:t>
      </w:r>
      <w:r w:rsidRPr="00443F82">
        <w:rPr>
          <w:rFonts w:ascii="Garamond" w:eastAsia="Times New Roman" w:hAnsi="Garamond" w:cs="Times New Roman"/>
          <w:color w:val="202020"/>
          <w:sz w:val="24"/>
          <w:szCs w:val="24"/>
          <w:highlight w:val="white"/>
          <w:lang w:val="en-US" w:eastAsia="it-IT"/>
        </w:rPr>
        <w:t xml:space="preserve"> no study has specifically investigated on </w:t>
      </w:r>
      <w:proofErr w:type="gramStart"/>
      <w:r w:rsidRPr="00443F82">
        <w:rPr>
          <w:rFonts w:ascii="Garamond" w:eastAsia="Times New Roman" w:hAnsi="Garamond" w:cs="Times New Roman"/>
          <w:color w:val="202020"/>
          <w:sz w:val="24"/>
          <w:szCs w:val="24"/>
          <w:highlight w:val="white"/>
          <w:lang w:val="en-US" w:eastAsia="it-IT"/>
        </w:rPr>
        <w:t>Post-COVID</w:t>
      </w:r>
      <w:proofErr w:type="gramEnd"/>
      <w:r w:rsidRPr="00443F82">
        <w:rPr>
          <w:rFonts w:ascii="Garamond" w:eastAsia="Times New Roman" w:hAnsi="Garamond" w:cs="Times New Roman"/>
          <w:color w:val="202020"/>
          <w:sz w:val="24"/>
          <w:szCs w:val="24"/>
          <w:highlight w:val="white"/>
          <w:lang w:val="en-US" w:eastAsia="it-IT"/>
        </w:rPr>
        <w:t xml:space="preserve">-19 patients in a medical setting, also in Italy. In particular, it might be of interest to delineate the psychological profiles of </w:t>
      </w:r>
      <w:proofErr w:type="gramStart"/>
      <w:r w:rsidRPr="00443F82">
        <w:rPr>
          <w:rFonts w:ascii="Garamond" w:eastAsia="Times New Roman" w:hAnsi="Garamond" w:cs="Times New Roman"/>
          <w:color w:val="202020"/>
          <w:sz w:val="24"/>
          <w:szCs w:val="24"/>
          <w:highlight w:val="white"/>
          <w:lang w:val="en-US" w:eastAsia="it-IT"/>
        </w:rPr>
        <w:t>Post-COVID</w:t>
      </w:r>
      <w:proofErr w:type="gramEnd"/>
      <w:r w:rsidRPr="00443F82">
        <w:rPr>
          <w:rFonts w:ascii="Garamond" w:eastAsia="Times New Roman" w:hAnsi="Garamond" w:cs="Times New Roman"/>
          <w:color w:val="202020"/>
          <w:sz w:val="24"/>
          <w:szCs w:val="24"/>
          <w:highlight w:val="white"/>
          <w:lang w:val="en-US" w:eastAsia="it-IT"/>
        </w:rPr>
        <w:t xml:space="preserve"> 19 among patients followed in an outpatient clinic dedicated to Post-COVID-19. Moreover, nobody has investigated on gender differences</w:t>
      </w:r>
      <w:r w:rsidR="00516F6F" w:rsidRPr="00443F82">
        <w:rPr>
          <w:rFonts w:ascii="Garamond" w:eastAsia="Times New Roman" w:hAnsi="Garamond" w:cs="Times New Roman"/>
          <w:color w:val="202020"/>
          <w:sz w:val="24"/>
          <w:szCs w:val="24"/>
          <w:highlight w:val="white"/>
          <w:lang w:val="en-US" w:eastAsia="it-IT"/>
        </w:rPr>
        <w:t xml:space="preserve">. </w:t>
      </w:r>
      <w:r w:rsidR="00516F6F" w:rsidRPr="00443F82">
        <w:rPr>
          <w:rFonts w:ascii="Garamond" w:eastAsia="Times New Roman" w:hAnsi="Garamond" w:cs="Times New Roman"/>
          <w:color w:val="202020"/>
          <w:sz w:val="24"/>
          <w:szCs w:val="24"/>
          <w:lang w:val="en-US" w:eastAsia="it-IT"/>
        </w:rPr>
        <w:t>Further</w:t>
      </w:r>
      <w:r w:rsidRPr="00443F82">
        <w:rPr>
          <w:rFonts w:ascii="Garamond" w:eastAsia="Times New Roman" w:hAnsi="Garamond" w:cs="Times New Roman"/>
          <w:color w:val="202020"/>
          <w:sz w:val="24"/>
          <w:szCs w:val="24"/>
          <w:highlight w:val="white"/>
          <w:lang w:val="en-US" w:eastAsia="it-IT"/>
        </w:rPr>
        <w:t xml:space="preserve">, it could be interesting </w:t>
      </w:r>
      <w:proofErr w:type="gramStart"/>
      <w:r w:rsidRPr="00443F82">
        <w:rPr>
          <w:rFonts w:ascii="Garamond" w:eastAsia="Times New Roman" w:hAnsi="Garamond" w:cs="Times New Roman"/>
          <w:color w:val="202020"/>
          <w:sz w:val="24"/>
          <w:szCs w:val="24"/>
          <w:highlight w:val="white"/>
          <w:lang w:val="en-US" w:eastAsia="it-IT"/>
        </w:rPr>
        <w:t>a</w:t>
      </w:r>
      <w:proofErr w:type="gramEnd"/>
      <w:r w:rsidRPr="00443F82">
        <w:rPr>
          <w:rFonts w:ascii="Garamond" w:eastAsia="Times New Roman" w:hAnsi="Garamond" w:cs="Times New Roman"/>
          <w:color w:val="202020"/>
          <w:sz w:val="24"/>
          <w:szCs w:val="24"/>
          <w:highlight w:val="white"/>
          <w:lang w:val="en-US" w:eastAsia="it-IT"/>
        </w:rPr>
        <w:t xml:space="preserve"> knowledge about marital status as a protective factor</w:t>
      </w:r>
      <w:r w:rsidR="00516F6F"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highlight w:val="white"/>
          <w:lang w:val="en-US" w:eastAsia="it-IT"/>
        </w:rPr>
        <w:t>considering that marital status represents one of the most important social factors that might influence mental health and coping challenges (</w:t>
      </w:r>
      <w:r w:rsidR="00516F6F" w:rsidRPr="00443F82">
        <w:rPr>
          <w:rFonts w:ascii="Garamond" w:eastAsia="Times New Roman" w:hAnsi="Garamond" w:cs="Times New Roman"/>
          <w:color w:val="202020"/>
          <w:sz w:val="24"/>
          <w:szCs w:val="24"/>
          <w:lang w:val="en-US" w:eastAsia="it-IT"/>
        </w:rPr>
        <w:t>Bulloch et al., 2009; Lawal et al., 2022).</w:t>
      </w:r>
    </w:p>
    <w:p w14:paraId="19227375" w14:textId="77777777" w:rsidR="00425E0F" w:rsidRPr="00443F82" w:rsidRDefault="00425E0F" w:rsidP="00443F82">
      <w:pPr>
        <w:spacing w:after="0" w:line="360" w:lineRule="auto"/>
        <w:jc w:val="both"/>
        <w:rPr>
          <w:rFonts w:ascii="Garamond" w:eastAsia="Times New Roman" w:hAnsi="Garamond" w:cs="Times New Roman"/>
          <w:i/>
          <w:color w:val="202020"/>
          <w:sz w:val="24"/>
          <w:szCs w:val="24"/>
          <w:lang w:val="en-US" w:eastAsia="it-IT"/>
        </w:rPr>
      </w:pPr>
      <w:r w:rsidRPr="00443F82">
        <w:rPr>
          <w:rFonts w:ascii="Garamond" w:eastAsia="Times New Roman" w:hAnsi="Garamond" w:cs="Times New Roman"/>
          <w:i/>
          <w:color w:val="202020"/>
          <w:sz w:val="24"/>
          <w:szCs w:val="24"/>
          <w:lang w:val="en-US" w:eastAsia="it-IT"/>
        </w:rPr>
        <w:t xml:space="preserve"> </w:t>
      </w:r>
    </w:p>
    <w:p w14:paraId="59B41C01"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en-US" w:eastAsia="it-IT"/>
        </w:rPr>
      </w:pPr>
      <w:r w:rsidRPr="00443F82">
        <w:rPr>
          <w:rFonts w:ascii="Garamond" w:eastAsia="Times New Roman" w:hAnsi="Garamond" w:cs="Times New Roman"/>
          <w:b/>
          <w:bCs/>
          <w:color w:val="202020"/>
          <w:sz w:val="24"/>
          <w:szCs w:val="24"/>
          <w:lang w:val="en-US" w:eastAsia="it-IT"/>
        </w:rPr>
        <w:t>Objectives and Hypothesis</w:t>
      </w:r>
    </w:p>
    <w:p w14:paraId="6DA33DA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2A815A6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sz w:val="24"/>
          <w:szCs w:val="24"/>
          <w:lang w:val="en-US" w:eastAsia="it-IT"/>
        </w:rPr>
        <w:t>The aim of this study was to assess psychological health and to define the psychological profile of a sample of patients who</w:t>
      </w:r>
      <w:r w:rsidRPr="00443F82">
        <w:rPr>
          <w:rFonts w:ascii="Garamond" w:eastAsia="Times New Roman" w:hAnsi="Garamond" w:cs="Times New Roman"/>
          <w:sz w:val="24"/>
          <w:szCs w:val="24"/>
          <w:highlight w:val="white"/>
          <w:lang w:val="en-US" w:eastAsia="it-IT"/>
        </w:rPr>
        <w:t xml:space="preserve"> were followed by Pneumologists in an outpatient clinic dedicated to </w:t>
      </w:r>
      <w:proofErr w:type="gramStart"/>
      <w:r w:rsidRPr="00443F82">
        <w:rPr>
          <w:rFonts w:ascii="Garamond" w:eastAsia="Times New Roman" w:hAnsi="Garamond" w:cs="Times New Roman"/>
          <w:sz w:val="24"/>
          <w:szCs w:val="24"/>
          <w:highlight w:val="white"/>
          <w:lang w:val="en-US" w:eastAsia="it-IT"/>
        </w:rPr>
        <w:t>Post-COVID</w:t>
      </w:r>
      <w:proofErr w:type="gramEnd"/>
      <w:r w:rsidRPr="00443F82">
        <w:rPr>
          <w:rFonts w:ascii="Garamond" w:eastAsia="Times New Roman" w:hAnsi="Garamond" w:cs="Times New Roman"/>
          <w:sz w:val="24"/>
          <w:szCs w:val="24"/>
          <w:highlight w:val="white"/>
          <w:lang w:val="en-US" w:eastAsia="it-IT"/>
        </w:rPr>
        <w:t>-19 follow-up</w:t>
      </w:r>
      <w:r w:rsidRPr="00443F82">
        <w:rPr>
          <w:rFonts w:ascii="Garamond" w:eastAsia="Times New Roman" w:hAnsi="Garamond" w:cs="Times New Roman"/>
          <w:sz w:val="24"/>
          <w:szCs w:val="24"/>
          <w:lang w:val="en-US" w:eastAsia="it-IT"/>
        </w:rPr>
        <w:t>. Specifically, we focused on gender differences regarding the presence of anxiety-depressive and posttraumatic stress symptoms and regarding the possible presence of any protective or risk factors (</w:t>
      </w:r>
      <w:proofErr w:type="gramStart"/>
      <w:r w:rsidRPr="00443F82">
        <w:rPr>
          <w:rFonts w:ascii="Garamond" w:eastAsia="Times New Roman" w:hAnsi="Garamond" w:cs="Times New Roman"/>
          <w:sz w:val="24"/>
          <w:szCs w:val="24"/>
          <w:lang w:val="en-US" w:eastAsia="it-IT"/>
        </w:rPr>
        <w:t>e.g.</w:t>
      </w:r>
      <w:proofErr w:type="gramEnd"/>
      <w:r w:rsidRPr="00443F82">
        <w:rPr>
          <w:rFonts w:ascii="Garamond" w:eastAsia="Times New Roman" w:hAnsi="Garamond" w:cs="Times New Roman"/>
          <w:sz w:val="24"/>
          <w:szCs w:val="24"/>
          <w:lang w:val="en-US" w:eastAsia="it-IT"/>
        </w:rPr>
        <w:t xml:space="preserve"> resilience levels, having a partner or being single). </w:t>
      </w:r>
      <w:r w:rsidRPr="00443F82">
        <w:rPr>
          <w:rFonts w:ascii="Garamond" w:eastAsia="Times New Roman" w:hAnsi="Garamond" w:cs="Times New Roman"/>
          <w:color w:val="202020"/>
          <w:sz w:val="24"/>
          <w:szCs w:val="24"/>
          <w:lang w:val="en-US" w:eastAsia="it-IT"/>
        </w:rPr>
        <w:t xml:space="preserve">We hypothesized to find a psychological profile of </w:t>
      </w:r>
      <w:proofErr w:type="gramStart"/>
      <w:r w:rsidRPr="00443F82">
        <w:rPr>
          <w:rFonts w:ascii="Garamond" w:eastAsia="Times New Roman" w:hAnsi="Garamond" w:cs="Times New Roman"/>
          <w:color w:val="202020"/>
          <w:sz w:val="24"/>
          <w:szCs w:val="24"/>
          <w:lang w:val="en-US" w:eastAsia="it-IT"/>
        </w:rPr>
        <w:t>Post-COVD</w:t>
      </w:r>
      <w:proofErr w:type="gramEnd"/>
      <w:r w:rsidRPr="00443F82">
        <w:rPr>
          <w:rFonts w:ascii="Garamond" w:eastAsia="Times New Roman" w:hAnsi="Garamond" w:cs="Times New Roman"/>
          <w:color w:val="202020"/>
          <w:sz w:val="24"/>
          <w:szCs w:val="24"/>
          <w:lang w:val="en-US" w:eastAsia="it-IT"/>
        </w:rPr>
        <w:t xml:space="preserve">-19 patients characterized by high levels of anxiety, depression, and </w:t>
      </w:r>
      <w:r w:rsidRPr="00443F82">
        <w:rPr>
          <w:rFonts w:ascii="Garamond" w:eastAsia="Times New Roman" w:hAnsi="Garamond" w:cs="Times New Roman"/>
          <w:color w:val="202020"/>
          <w:sz w:val="24"/>
          <w:szCs w:val="24"/>
          <w:lang w:val="en-US" w:eastAsia="it-IT"/>
        </w:rPr>
        <w:lastRenderedPageBreak/>
        <w:t>symptoms of posttraumatic stress and sleep disturbance; moreover, we hypothesized that these characteristics were more pronounced in women and in single individuals.</w:t>
      </w:r>
    </w:p>
    <w:p w14:paraId="3F77064D"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p>
    <w:p w14:paraId="543997BB"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b/>
          <w:color w:val="202020"/>
          <w:sz w:val="24"/>
          <w:szCs w:val="24"/>
          <w:lang w:val="en-US" w:eastAsia="it-IT"/>
        </w:rPr>
        <w:t>Methods</w:t>
      </w:r>
    </w:p>
    <w:p w14:paraId="407EC00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5999468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Participant and Procedure</w:t>
      </w:r>
    </w:p>
    <w:p w14:paraId="683454A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0AB582D" w14:textId="08B40B8F"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A sample of 60 PCR-confirmed COVID-19 outpatients was enrolled for this study (48.3% female; age mean= 56.1; ds= 10.8). COVID-19 outpatient </w:t>
      </w:r>
      <w:proofErr w:type="gramStart"/>
      <w:r w:rsidRPr="00443F82">
        <w:rPr>
          <w:rFonts w:ascii="Garamond" w:eastAsia="Times New Roman" w:hAnsi="Garamond" w:cs="Times New Roman"/>
          <w:color w:val="202020"/>
          <w:sz w:val="24"/>
          <w:szCs w:val="24"/>
          <w:lang w:val="en-US" w:eastAsia="it-IT"/>
        </w:rPr>
        <w:t>were</w:t>
      </w:r>
      <w:proofErr w:type="gramEnd"/>
      <w:r w:rsidRPr="00443F82">
        <w:rPr>
          <w:rFonts w:ascii="Garamond" w:eastAsia="Times New Roman" w:hAnsi="Garamond" w:cs="Times New Roman"/>
          <w:color w:val="202020"/>
          <w:sz w:val="24"/>
          <w:szCs w:val="24"/>
          <w:lang w:val="en-US" w:eastAsia="it-IT"/>
        </w:rPr>
        <w:t xml:space="preserve"> involved in the study if: a) they were hospitalized at the </w:t>
      </w:r>
      <w:proofErr w:type="spellStart"/>
      <w:r w:rsidRPr="00443F82">
        <w:rPr>
          <w:rFonts w:ascii="Garamond" w:eastAsia="Times New Roman" w:hAnsi="Garamond" w:cs="Times New Roman"/>
          <w:color w:val="202020"/>
          <w:sz w:val="24"/>
          <w:szCs w:val="24"/>
          <w:lang w:val="en-US" w:eastAsia="it-IT"/>
        </w:rPr>
        <w:t>Policlinico</w:t>
      </w:r>
      <w:proofErr w:type="spellEnd"/>
      <w:r w:rsidRPr="00443F82">
        <w:rPr>
          <w:rFonts w:ascii="Garamond" w:eastAsia="Times New Roman" w:hAnsi="Garamond" w:cs="Times New Roman"/>
          <w:color w:val="202020"/>
          <w:sz w:val="24"/>
          <w:szCs w:val="24"/>
          <w:lang w:val="en-US" w:eastAsia="it-IT"/>
        </w:rPr>
        <w:t xml:space="preserve"> University Hospital “</w:t>
      </w:r>
      <w:proofErr w:type="spellStart"/>
      <w:r w:rsidRPr="00443F82">
        <w:rPr>
          <w:rFonts w:ascii="Garamond" w:eastAsia="Times New Roman" w:hAnsi="Garamond" w:cs="Times New Roman"/>
          <w:color w:val="202020"/>
          <w:sz w:val="24"/>
          <w:szCs w:val="24"/>
          <w:lang w:val="en-US" w:eastAsia="it-IT"/>
        </w:rPr>
        <w:t>Riuniti</w:t>
      </w:r>
      <w:proofErr w:type="spellEnd"/>
      <w:r w:rsidRPr="00443F82">
        <w:rPr>
          <w:rFonts w:ascii="Garamond" w:eastAsia="Times New Roman" w:hAnsi="Garamond" w:cs="Times New Roman"/>
          <w:color w:val="202020"/>
          <w:sz w:val="24"/>
          <w:szCs w:val="24"/>
          <w:lang w:val="en-US" w:eastAsia="it-IT"/>
        </w:rPr>
        <w:t xml:space="preserve">” of Foggia and at </w:t>
      </w:r>
      <w:proofErr w:type="spellStart"/>
      <w:r w:rsidRPr="00443F82">
        <w:rPr>
          <w:rFonts w:ascii="Garamond" w:eastAsia="Times New Roman" w:hAnsi="Garamond" w:cs="Times New Roman"/>
          <w:color w:val="202020"/>
          <w:sz w:val="24"/>
          <w:szCs w:val="24"/>
          <w:lang w:val="en-US" w:eastAsia="it-IT"/>
        </w:rPr>
        <w:t>Policlinico</w:t>
      </w:r>
      <w:proofErr w:type="spellEnd"/>
      <w:r w:rsidRPr="00443F82">
        <w:rPr>
          <w:rFonts w:ascii="Garamond" w:eastAsia="Times New Roman" w:hAnsi="Garamond" w:cs="Times New Roman"/>
          <w:color w:val="202020"/>
          <w:sz w:val="24"/>
          <w:szCs w:val="24"/>
          <w:lang w:val="en-US" w:eastAsia="it-IT"/>
        </w:rPr>
        <w:t xml:space="preserve"> University Hospital of Bari between 2020 and 2021 or they received home care treatment followed by the aforementioned hospitals; b) they attend an outpatient clinic dedicated to Post-COVID-19 follow-up; c) they completed the whole questionnaires. Patients who had a psychiatric diagnosis were excluded. Once they were discharged, patients were interviewed by pneumologists who investigated the functioning level of patients in daily life. In addition, participants completed the questionnaires online </w:t>
      </w:r>
      <w:proofErr w:type="gramStart"/>
      <w:r w:rsidRPr="00443F82">
        <w:rPr>
          <w:rFonts w:ascii="Garamond" w:eastAsia="Times New Roman" w:hAnsi="Garamond" w:cs="Times New Roman"/>
          <w:color w:val="202020"/>
          <w:sz w:val="24"/>
          <w:szCs w:val="24"/>
          <w:lang w:val="en-US" w:eastAsia="it-IT"/>
        </w:rPr>
        <w:t>in order to</w:t>
      </w:r>
      <w:proofErr w:type="gramEnd"/>
      <w:r w:rsidRPr="00443F82">
        <w:rPr>
          <w:rFonts w:ascii="Garamond" w:eastAsia="Times New Roman" w:hAnsi="Garamond" w:cs="Times New Roman"/>
          <w:color w:val="202020"/>
          <w:sz w:val="24"/>
          <w:szCs w:val="24"/>
          <w:lang w:val="en-US" w:eastAsia="it-IT"/>
        </w:rPr>
        <w:t xml:space="preserve"> assess the following under the psychologist’s supervision: </w:t>
      </w:r>
      <w:r w:rsidRPr="00443F82">
        <w:rPr>
          <w:rFonts w:ascii="Garamond" w:eastAsia="Times New Roman" w:hAnsi="Garamond" w:cs="Times New Roman"/>
          <w:color w:val="202020"/>
          <w:sz w:val="24"/>
          <w:szCs w:val="24"/>
          <w:highlight w:val="white"/>
          <w:lang w:val="en-US" w:eastAsia="it-IT"/>
        </w:rPr>
        <w:t>Post Traumatic Stress symptoms; depression; anxiety; resilience</w:t>
      </w:r>
      <w:r w:rsidRPr="00443F82">
        <w:rPr>
          <w:rFonts w:ascii="Garamond" w:eastAsia="Times New Roman" w:hAnsi="Garamond" w:cs="Times New Roman"/>
          <w:color w:val="202020"/>
          <w:sz w:val="24"/>
          <w:szCs w:val="24"/>
          <w:lang w:val="en-US" w:eastAsia="it-IT"/>
        </w:rPr>
        <w:t>; disposition to experience negative emotions (neuroticism). All participants filled out the informed consent. The ethical committee of University Hospitals approved the general study protocol (n. 145/CE/2020). The study was conducted following the Helsinki Declaration.</w:t>
      </w:r>
    </w:p>
    <w:p w14:paraId="4CBF22D0" w14:textId="77777777" w:rsidR="00EA5EC0" w:rsidRDefault="00EA5EC0" w:rsidP="00443F82">
      <w:pPr>
        <w:spacing w:after="0" w:line="360" w:lineRule="auto"/>
        <w:jc w:val="both"/>
        <w:rPr>
          <w:rFonts w:ascii="Garamond" w:eastAsia="Times New Roman" w:hAnsi="Garamond" w:cs="Times New Roman"/>
          <w:color w:val="202020"/>
          <w:sz w:val="24"/>
          <w:szCs w:val="24"/>
          <w:lang w:val="en-US" w:eastAsia="it-IT"/>
        </w:rPr>
      </w:pPr>
    </w:p>
    <w:p w14:paraId="7D9220CB" w14:textId="224F06A8"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A0100A2"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Materials</w:t>
      </w:r>
    </w:p>
    <w:p w14:paraId="43822E7A"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743DE02C" w14:textId="08386CF4" w:rsidR="00425E0F" w:rsidRPr="00443F82" w:rsidRDefault="00425E0F" w:rsidP="00443F82">
      <w:pPr>
        <w:spacing w:after="0" w:line="360" w:lineRule="auto"/>
        <w:jc w:val="both"/>
        <w:rPr>
          <w:rFonts w:ascii="Garamond" w:eastAsia="Times New Roman" w:hAnsi="Garamond" w:cs="Times New Roman"/>
          <w:color w:val="1D2228"/>
          <w:sz w:val="24"/>
          <w:szCs w:val="24"/>
          <w:highlight w:val="white"/>
          <w:lang w:val="en-US" w:eastAsia="it-IT"/>
        </w:rPr>
      </w:pPr>
      <w:r w:rsidRPr="00443F82">
        <w:rPr>
          <w:rFonts w:ascii="Garamond" w:eastAsia="Times New Roman" w:hAnsi="Garamond" w:cs="Times New Roman"/>
          <w:color w:val="202020"/>
          <w:sz w:val="24"/>
          <w:szCs w:val="24"/>
          <w:lang w:val="en-US" w:eastAsia="it-IT"/>
        </w:rPr>
        <w:t xml:space="preserve">In order to carry out this study the following standardized questionnaires were employed: a) the Psychosocial Index </w:t>
      </w:r>
      <w:r w:rsidR="00467667" w:rsidRPr="00443F82">
        <w:rPr>
          <w:rFonts w:ascii="Garamond" w:eastAsia="Times New Roman" w:hAnsi="Garamond" w:cs="Times New Roman"/>
          <w:color w:val="202020"/>
          <w:sz w:val="24"/>
          <w:szCs w:val="24"/>
          <w:lang w:val="en-US" w:eastAsia="it-IT"/>
        </w:rPr>
        <w:t>(</w:t>
      </w:r>
      <w:proofErr w:type="spellStart"/>
      <w:r w:rsidR="00516F6F" w:rsidRPr="00443F82">
        <w:rPr>
          <w:rFonts w:ascii="Garamond" w:eastAsia="Times New Roman" w:hAnsi="Garamond" w:cs="Times New Roman"/>
          <w:color w:val="202020"/>
          <w:sz w:val="24"/>
          <w:szCs w:val="24"/>
          <w:lang w:val="en-US" w:eastAsia="it-IT"/>
        </w:rPr>
        <w:t>Sonino</w:t>
      </w:r>
      <w:proofErr w:type="spellEnd"/>
      <w:r w:rsidR="00516F6F" w:rsidRPr="00443F82">
        <w:rPr>
          <w:rFonts w:ascii="Garamond" w:eastAsia="Times New Roman" w:hAnsi="Garamond" w:cs="Times New Roman"/>
          <w:color w:val="202020"/>
          <w:sz w:val="24"/>
          <w:szCs w:val="24"/>
          <w:lang w:val="en-US" w:eastAsia="it-IT"/>
        </w:rPr>
        <w:t xml:space="preserve"> &amp; Fava, 1998</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a 55 – item self- rating scale exploring sociodemographic data (</w:t>
      </w:r>
      <w:proofErr w:type="gramStart"/>
      <w:r w:rsidRPr="00443F82">
        <w:rPr>
          <w:rFonts w:ascii="Garamond" w:eastAsia="Times New Roman" w:hAnsi="Garamond" w:cs="Times New Roman"/>
          <w:color w:val="202020"/>
          <w:sz w:val="24"/>
          <w:szCs w:val="24"/>
          <w:lang w:val="en-US" w:eastAsia="it-IT"/>
        </w:rPr>
        <w:t>e.g.</w:t>
      </w:r>
      <w:proofErr w:type="gramEnd"/>
      <w:r w:rsidRPr="00443F82">
        <w:rPr>
          <w:rFonts w:ascii="Garamond" w:eastAsia="Times New Roman" w:hAnsi="Garamond" w:cs="Times New Roman"/>
          <w:color w:val="202020"/>
          <w:sz w:val="24"/>
          <w:szCs w:val="24"/>
          <w:lang w:val="en-US" w:eastAsia="it-IT"/>
        </w:rPr>
        <w:t xml:space="preserve"> age, sex, education, civil status, and occupation) and clinical data (e.g. stress, well-being, psychological distress; abnormal illness behavior and Quality of life. The PSI is not designed to calculate a total score. The reliability coefficients were 0.88 for rating stress, 0.94 for well-being, 0.89 for psychological distress, and 0.90 for illness </w:t>
      </w:r>
      <w:proofErr w:type="spellStart"/>
      <w:r w:rsidRPr="00443F82">
        <w:rPr>
          <w:rFonts w:ascii="Garamond" w:eastAsia="Times New Roman" w:hAnsi="Garamond" w:cs="Times New Roman"/>
          <w:color w:val="202020"/>
          <w:sz w:val="24"/>
          <w:szCs w:val="24"/>
          <w:lang w:val="en-US" w:eastAsia="it-IT"/>
        </w:rPr>
        <w:t>behaviour</w:t>
      </w:r>
      <w:proofErr w:type="spellEnd"/>
      <w:r w:rsidRPr="00443F82">
        <w:rPr>
          <w:rFonts w:ascii="Garamond" w:eastAsia="Times New Roman" w:hAnsi="Garamond" w:cs="Times New Roman"/>
          <w:color w:val="202020"/>
          <w:sz w:val="24"/>
          <w:szCs w:val="24"/>
          <w:lang w:val="en-US" w:eastAsia="it-IT"/>
        </w:rPr>
        <w:t xml:space="preserve"> </w:t>
      </w:r>
      <w:r w:rsidR="00467667" w:rsidRPr="00443F82">
        <w:rPr>
          <w:rFonts w:ascii="Garamond" w:eastAsia="Times New Roman" w:hAnsi="Garamond" w:cs="Times New Roman"/>
          <w:color w:val="202020"/>
          <w:sz w:val="24"/>
          <w:szCs w:val="24"/>
          <w:lang w:val="en-US" w:eastAsia="it-IT"/>
        </w:rPr>
        <w:t>(</w:t>
      </w:r>
      <w:proofErr w:type="spellStart"/>
      <w:r w:rsidR="00516F6F" w:rsidRPr="00443F82">
        <w:rPr>
          <w:rFonts w:ascii="Garamond" w:eastAsia="Times New Roman" w:hAnsi="Garamond" w:cs="Times New Roman"/>
          <w:color w:val="202020"/>
          <w:sz w:val="24"/>
          <w:szCs w:val="24"/>
          <w:lang w:val="en-US" w:eastAsia="it-IT"/>
        </w:rPr>
        <w:t>Sonino</w:t>
      </w:r>
      <w:proofErr w:type="spellEnd"/>
      <w:r w:rsidR="00516F6F" w:rsidRPr="00443F82">
        <w:rPr>
          <w:rFonts w:ascii="Garamond" w:eastAsia="Times New Roman" w:hAnsi="Garamond" w:cs="Times New Roman"/>
          <w:color w:val="202020"/>
          <w:sz w:val="24"/>
          <w:szCs w:val="24"/>
          <w:lang w:val="en-US" w:eastAsia="it-IT"/>
        </w:rPr>
        <w:t xml:space="preserve"> &amp; Fava, 1998</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b) the Impact of Event Scale </w:t>
      </w:r>
      <w:r w:rsidRPr="00443F82">
        <w:rPr>
          <w:rFonts w:ascii="Garamond" w:eastAsia="Times New Roman" w:hAnsi="Garamond" w:cs="Times New Roman"/>
          <w:color w:val="1D2228"/>
          <w:sz w:val="24"/>
          <w:szCs w:val="24"/>
          <w:highlight w:val="white"/>
          <w:lang w:val="en-US" w:eastAsia="it-IT"/>
        </w:rPr>
        <w:t xml:space="preserve">– Revised (IES-R) </w:t>
      </w:r>
      <w:r w:rsidR="00467667" w:rsidRPr="00443F82">
        <w:rPr>
          <w:rFonts w:ascii="Garamond" w:eastAsia="Times New Roman" w:hAnsi="Garamond" w:cs="Times New Roman"/>
          <w:color w:val="1D2228"/>
          <w:sz w:val="24"/>
          <w:szCs w:val="24"/>
          <w:highlight w:val="white"/>
          <w:lang w:val="en-US" w:eastAsia="it-IT"/>
        </w:rPr>
        <w:t>(</w:t>
      </w:r>
      <w:r w:rsidR="00516F6F" w:rsidRPr="00443F82">
        <w:rPr>
          <w:rFonts w:ascii="Garamond" w:eastAsia="Times New Roman" w:hAnsi="Garamond" w:cs="Times New Roman"/>
          <w:color w:val="212121"/>
          <w:sz w:val="24"/>
          <w:szCs w:val="24"/>
          <w:lang w:val="en-US"/>
        </w:rPr>
        <w:t>W</w:t>
      </w:r>
      <w:r w:rsidR="00516F6F" w:rsidRPr="00443F82">
        <w:rPr>
          <w:rFonts w:ascii="Garamond" w:eastAsia="Times New Roman" w:hAnsi="Garamond" w:cs="Times New Roman"/>
          <w:color w:val="212121"/>
          <w:sz w:val="24"/>
          <w:szCs w:val="24"/>
          <w:highlight w:val="white"/>
          <w:lang w:val="en-US"/>
        </w:rPr>
        <w:t xml:space="preserve">eiss et al., 1997; </w:t>
      </w:r>
      <w:proofErr w:type="spellStart"/>
      <w:r w:rsidR="00516F6F" w:rsidRPr="00443F82">
        <w:rPr>
          <w:rFonts w:ascii="Garamond" w:eastAsia="Times New Roman" w:hAnsi="Garamond" w:cs="Times New Roman"/>
          <w:color w:val="1D2228"/>
          <w:sz w:val="24"/>
          <w:szCs w:val="24"/>
          <w:highlight w:val="white"/>
          <w:lang w:val="en-US" w:eastAsia="it-IT"/>
        </w:rPr>
        <w:t>Craparo</w:t>
      </w:r>
      <w:proofErr w:type="spellEnd"/>
      <w:r w:rsidR="00516F6F" w:rsidRPr="00443F82">
        <w:rPr>
          <w:rFonts w:ascii="Garamond" w:eastAsia="Times New Roman" w:hAnsi="Garamond" w:cs="Times New Roman"/>
          <w:color w:val="1D2228"/>
          <w:sz w:val="24"/>
          <w:szCs w:val="24"/>
          <w:highlight w:val="white"/>
          <w:lang w:val="en-US" w:eastAsia="it-IT"/>
        </w:rPr>
        <w:t xml:space="preserve"> et al., 2013</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lang w:val="en-US" w:eastAsia="it-IT"/>
        </w:rPr>
        <w:t xml:space="preserve">. It was a self-report measure of subjective distress after a specific event (e.g., COVID-19 illness). It was composed of three subscales </w:t>
      </w:r>
      <w:r w:rsidRPr="00443F82">
        <w:rPr>
          <w:rFonts w:ascii="Garamond" w:eastAsia="Times New Roman" w:hAnsi="Garamond" w:cs="Times New Roman"/>
          <w:color w:val="1D2228"/>
          <w:sz w:val="24"/>
          <w:szCs w:val="24"/>
          <w:highlight w:val="white"/>
          <w:lang w:val="en-US" w:eastAsia="it-IT"/>
        </w:rPr>
        <w:t xml:space="preserve">(i.e., avoidance, </w:t>
      </w:r>
      <w:r w:rsidRPr="00443F82">
        <w:rPr>
          <w:rFonts w:ascii="Garamond" w:eastAsia="Times New Roman" w:hAnsi="Garamond" w:cs="Times New Roman"/>
          <w:color w:val="1D2228"/>
          <w:sz w:val="24"/>
          <w:szCs w:val="24"/>
          <w:lang w:val="en-US" w:eastAsia="it-IT"/>
        </w:rPr>
        <w:t>hyperarousal, intrusiveness) and 22 items. The internal consistency of the IES-R scales was good for all three subscales: intrusion, alpha=0.78; avoidance, alpha=0.72; hyperarousal, alpha=0.83 (</w:t>
      </w:r>
      <w:proofErr w:type="spellStart"/>
      <w:r w:rsidRPr="00443F82">
        <w:rPr>
          <w:rFonts w:ascii="Garamond" w:eastAsia="Times New Roman" w:hAnsi="Garamond" w:cs="Times New Roman"/>
          <w:color w:val="1D2228"/>
          <w:sz w:val="24"/>
          <w:szCs w:val="24"/>
          <w:lang w:val="en-US" w:eastAsia="it-IT"/>
        </w:rPr>
        <w:t>Capraro</w:t>
      </w:r>
      <w:proofErr w:type="spellEnd"/>
      <w:r w:rsidRPr="00443F82">
        <w:rPr>
          <w:rFonts w:ascii="Garamond" w:eastAsia="Times New Roman" w:hAnsi="Garamond" w:cs="Times New Roman"/>
          <w:color w:val="1D2228"/>
          <w:sz w:val="24"/>
          <w:szCs w:val="24"/>
          <w:lang w:val="en-US" w:eastAsia="it-IT"/>
        </w:rPr>
        <w:t xml:space="preserve"> et al., 2013); c) The Hospital Anxiety and Depression Scale (HADS) </w:t>
      </w:r>
      <w:r w:rsidR="00467667" w:rsidRPr="00443F82">
        <w:rPr>
          <w:rFonts w:ascii="Garamond" w:eastAsia="Times New Roman" w:hAnsi="Garamond" w:cs="Times New Roman"/>
          <w:color w:val="1D2228"/>
          <w:sz w:val="24"/>
          <w:szCs w:val="24"/>
          <w:lang w:val="en-US" w:eastAsia="it-IT"/>
        </w:rPr>
        <w:t>(</w:t>
      </w:r>
      <w:proofErr w:type="spellStart"/>
      <w:r w:rsidR="00516F6F" w:rsidRPr="00443F82">
        <w:rPr>
          <w:rFonts w:ascii="Garamond" w:hAnsi="Garamond" w:cs="Segoe UI"/>
          <w:color w:val="212121"/>
          <w:sz w:val="24"/>
          <w:szCs w:val="24"/>
          <w:shd w:val="clear" w:color="auto" w:fill="FFFFFF"/>
        </w:rPr>
        <w:t>Zigmond</w:t>
      </w:r>
      <w:proofErr w:type="spellEnd"/>
      <w:r w:rsidR="00516F6F" w:rsidRPr="00443F82">
        <w:rPr>
          <w:rFonts w:ascii="Garamond" w:hAnsi="Garamond" w:cs="Segoe UI"/>
          <w:color w:val="212121"/>
          <w:sz w:val="24"/>
          <w:szCs w:val="24"/>
          <w:shd w:val="clear" w:color="auto" w:fill="FFFFFF"/>
        </w:rPr>
        <w:t xml:space="preserve"> &amp; Snaith</w:t>
      </w:r>
      <w:r w:rsidRPr="00443F82">
        <w:rPr>
          <w:rFonts w:ascii="Garamond" w:eastAsia="Times New Roman" w:hAnsi="Garamond" w:cs="Times New Roman"/>
          <w:color w:val="1D2228"/>
          <w:sz w:val="24"/>
          <w:szCs w:val="24"/>
          <w:lang w:val="en-US" w:eastAsia="it-IT"/>
        </w:rPr>
        <w:t>,</w:t>
      </w:r>
      <w:r w:rsidR="00516F6F" w:rsidRPr="00443F82">
        <w:rPr>
          <w:rFonts w:ascii="Garamond" w:eastAsia="Times New Roman" w:hAnsi="Garamond" w:cs="Times New Roman"/>
          <w:color w:val="1D2228"/>
          <w:sz w:val="24"/>
          <w:szCs w:val="24"/>
          <w:lang w:val="en-US" w:eastAsia="it-IT"/>
        </w:rPr>
        <w:t xml:space="preserve"> 1983;</w:t>
      </w:r>
      <w:r w:rsidRPr="00443F82">
        <w:rPr>
          <w:rFonts w:ascii="Garamond" w:eastAsia="Times New Roman" w:hAnsi="Garamond" w:cs="Times New Roman"/>
          <w:color w:val="1D2228"/>
          <w:sz w:val="24"/>
          <w:szCs w:val="24"/>
          <w:lang w:val="en-US" w:eastAsia="it-IT"/>
        </w:rPr>
        <w:t xml:space="preserve"> </w:t>
      </w:r>
      <w:proofErr w:type="spellStart"/>
      <w:r w:rsidR="00516F6F" w:rsidRPr="00443F82">
        <w:rPr>
          <w:rFonts w:ascii="Garamond" w:hAnsi="Garamond" w:cs="Segoe UI"/>
          <w:color w:val="212121"/>
          <w:sz w:val="24"/>
          <w:szCs w:val="24"/>
          <w:shd w:val="clear" w:color="auto" w:fill="FFFFFF"/>
          <w:lang w:val="en-US"/>
        </w:rPr>
        <w:t>Costantini</w:t>
      </w:r>
      <w:proofErr w:type="spellEnd"/>
      <w:r w:rsidR="00516F6F" w:rsidRPr="00443F82">
        <w:rPr>
          <w:rFonts w:ascii="Garamond" w:hAnsi="Garamond" w:cs="Segoe UI"/>
          <w:color w:val="212121"/>
          <w:sz w:val="24"/>
          <w:szCs w:val="24"/>
          <w:shd w:val="clear" w:color="auto" w:fill="FFFFFF"/>
          <w:lang w:val="en-US"/>
        </w:rPr>
        <w:t xml:space="preserve"> et </w:t>
      </w:r>
      <w:r w:rsidR="00516F6F" w:rsidRPr="00443F82">
        <w:rPr>
          <w:rFonts w:ascii="Garamond" w:hAnsi="Garamond" w:cs="Segoe UI"/>
          <w:color w:val="212121"/>
          <w:sz w:val="24"/>
          <w:szCs w:val="24"/>
          <w:shd w:val="clear" w:color="auto" w:fill="FFFFFF"/>
          <w:lang w:val="en-US"/>
        </w:rPr>
        <w:lastRenderedPageBreak/>
        <w:t>al., 1999</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xml:space="preserve">. It was a self-report measure useful to assess anxiety and depression in outpatients. It was composed of two subscale (i.e., anxiety and depression) and 14 items. The </w:t>
      </w:r>
      <w:proofErr w:type="spellStart"/>
      <w:r w:rsidRPr="00443F82">
        <w:rPr>
          <w:rFonts w:ascii="Garamond" w:eastAsia="Times New Roman" w:hAnsi="Garamond" w:cs="Times New Roman"/>
          <w:color w:val="1D2228"/>
          <w:sz w:val="24"/>
          <w:szCs w:val="24"/>
          <w:lang w:val="en-US" w:eastAsia="it-IT"/>
        </w:rPr>
        <w:t>Crohnbach’s</w:t>
      </w:r>
      <w:proofErr w:type="spellEnd"/>
      <w:r w:rsidRPr="00443F82">
        <w:rPr>
          <w:rFonts w:ascii="Garamond" w:eastAsia="Times New Roman" w:hAnsi="Garamond" w:cs="Times New Roman"/>
          <w:color w:val="1D2228"/>
          <w:sz w:val="24"/>
          <w:szCs w:val="24"/>
          <w:lang w:val="en-US" w:eastAsia="it-IT"/>
        </w:rPr>
        <w:t xml:space="preserve"> alpha for the subscales ranged between 0.80 and 0.85 </w:t>
      </w:r>
      <w:r w:rsidR="00467667" w:rsidRPr="00443F82">
        <w:rPr>
          <w:rFonts w:ascii="Garamond" w:eastAsia="Times New Roman" w:hAnsi="Garamond" w:cs="Times New Roman"/>
          <w:color w:val="1D2228"/>
          <w:sz w:val="24"/>
          <w:szCs w:val="24"/>
          <w:lang w:val="en-US" w:eastAsia="it-IT"/>
        </w:rPr>
        <w:t>(</w:t>
      </w:r>
      <w:proofErr w:type="spellStart"/>
      <w:r w:rsidR="00516F6F" w:rsidRPr="00443F82">
        <w:rPr>
          <w:rFonts w:ascii="Garamond" w:eastAsia="Times New Roman" w:hAnsi="Garamond" w:cs="Times New Roman"/>
          <w:color w:val="1D2228"/>
          <w:sz w:val="24"/>
          <w:szCs w:val="24"/>
          <w:lang w:val="en-US" w:eastAsia="it-IT"/>
        </w:rPr>
        <w:t>Costantini</w:t>
      </w:r>
      <w:proofErr w:type="spellEnd"/>
      <w:r w:rsidR="00516F6F" w:rsidRPr="00443F82">
        <w:rPr>
          <w:rFonts w:ascii="Garamond" w:eastAsia="Times New Roman" w:hAnsi="Garamond" w:cs="Times New Roman"/>
          <w:color w:val="1D2228"/>
          <w:sz w:val="24"/>
          <w:szCs w:val="24"/>
          <w:lang w:val="en-US" w:eastAsia="it-IT"/>
        </w:rPr>
        <w:t xml:space="preserve"> et al., 1999</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d) The Connor-Davidson Resilience Scale (CD-RISC</w:t>
      </w:r>
      <w:r w:rsidR="002E4A00" w:rsidRPr="00443F82">
        <w:rPr>
          <w:rFonts w:ascii="Garamond" w:eastAsia="Times New Roman" w:hAnsi="Garamond" w:cs="Times New Roman"/>
          <w:color w:val="1D2228"/>
          <w:sz w:val="24"/>
          <w:szCs w:val="24"/>
          <w:lang w:val="en-US" w:eastAsia="it-IT"/>
        </w:rPr>
        <w:t xml:space="preserve">; </w:t>
      </w:r>
      <w:r w:rsidR="002E4A00" w:rsidRPr="00443F82">
        <w:rPr>
          <w:rFonts w:ascii="Garamond" w:hAnsi="Garamond" w:cs="Segoe UI"/>
          <w:color w:val="212121"/>
          <w:sz w:val="24"/>
          <w:szCs w:val="24"/>
          <w:shd w:val="clear" w:color="auto" w:fill="FFFFFF"/>
        </w:rPr>
        <w:t>Connor &amp; Davidson et al., 2003</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a self-report instrument to assess resilience. It was composed of five subscales (i.e., personal competence, self-confidence, positive acceptance</w:t>
      </w:r>
      <w:r w:rsidRPr="00443F82">
        <w:rPr>
          <w:rFonts w:ascii="Garamond" w:eastAsia="Times New Roman" w:hAnsi="Garamond" w:cs="Times New Roman"/>
          <w:color w:val="1D2228"/>
          <w:sz w:val="24"/>
          <w:szCs w:val="24"/>
          <w:highlight w:val="white"/>
          <w:lang w:val="en-US" w:eastAsia="it-IT"/>
        </w:rPr>
        <w:t xml:space="preserve">, control, spirituality) and 24 items. The internal consistency for the whole scales was 0.89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hAnsi="Garamond" w:cs="Segoe UI"/>
          <w:color w:val="212121"/>
          <w:sz w:val="24"/>
          <w:szCs w:val="24"/>
          <w:shd w:val="clear" w:color="auto" w:fill="FFFFFF"/>
        </w:rPr>
        <w:t>Connor &amp; Davidson et al., 2003</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highlight w:val="white"/>
          <w:lang w:val="en-US" w:eastAsia="it-IT"/>
        </w:rPr>
        <w:t xml:space="preserve">; e) N scale of NEO Five Factor Inventory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202020"/>
          <w:sz w:val="24"/>
          <w:szCs w:val="24"/>
          <w:highlight w:val="white"/>
          <w:lang w:val="en-US"/>
        </w:rPr>
        <w:t>McCrae &amp; Costa, 2004</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highlight w:val="white"/>
          <w:lang w:val="en-US" w:eastAsia="it-IT"/>
        </w:rPr>
        <w:t xml:space="preserve">. It was a self-report measure to assess “Neuroticism”; individual differences to feel negative emotions such as sadness, </w:t>
      </w:r>
      <w:proofErr w:type="gramStart"/>
      <w:r w:rsidRPr="00443F82">
        <w:rPr>
          <w:rFonts w:ascii="Garamond" w:eastAsia="Times New Roman" w:hAnsi="Garamond" w:cs="Times New Roman"/>
          <w:color w:val="1D2228"/>
          <w:sz w:val="24"/>
          <w:szCs w:val="24"/>
          <w:highlight w:val="white"/>
          <w:lang w:val="en-US" w:eastAsia="it-IT"/>
        </w:rPr>
        <w:t>anxiety</w:t>
      </w:r>
      <w:proofErr w:type="gramEnd"/>
      <w:r w:rsidRPr="00443F82">
        <w:rPr>
          <w:rFonts w:ascii="Garamond" w:eastAsia="Times New Roman" w:hAnsi="Garamond" w:cs="Times New Roman"/>
          <w:color w:val="1D2228"/>
          <w:sz w:val="24"/>
          <w:szCs w:val="24"/>
          <w:highlight w:val="white"/>
          <w:lang w:val="en-US" w:eastAsia="it-IT"/>
        </w:rPr>
        <w:t xml:space="preserve"> and mood swings. It was composed of 12 items, internal consistency ranges from 0.68 to 0.86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202020"/>
          <w:sz w:val="24"/>
          <w:szCs w:val="24"/>
          <w:highlight w:val="white"/>
          <w:lang w:val="en-US"/>
        </w:rPr>
        <w:t>McCrae &amp; Costa, 2004</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1D2228"/>
          <w:sz w:val="24"/>
          <w:szCs w:val="24"/>
          <w:highlight w:val="white"/>
          <w:lang w:val="en-US" w:eastAsia="it-IT"/>
        </w:rPr>
        <w:t>.</w:t>
      </w:r>
    </w:p>
    <w:p w14:paraId="0DEAB58C" w14:textId="16C60D4D"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0043762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Statistical Analyses</w:t>
      </w:r>
    </w:p>
    <w:p w14:paraId="37189C2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462B197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Analysis was conducted using the statistical software Grand Prism 5 (San Diego, CA, USA). Means and standard deviation (SD) were calculated for each characteristic and parameter, and findings were considered statistically significant with p 0.05. The differences in psychometric dimensions across the groups were compared using nonparametric Kruskal–</w:t>
      </w:r>
      <w:proofErr w:type="gramStart"/>
      <w:r w:rsidRPr="00443F82">
        <w:rPr>
          <w:rFonts w:ascii="Garamond" w:eastAsia="Times New Roman" w:hAnsi="Garamond" w:cs="Times New Roman"/>
          <w:color w:val="202020"/>
          <w:sz w:val="24"/>
          <w:szCs w:val="24"/>
          <w:lang w:val="en-US" w:eastAsia="it-IT"/>
        </w:rPr>
        <w:t>Wallis</w:t>
      </w:r>
      <w:proofErr w:type="gramEnd"/>
      <w:r w:rsidRPr="00443F82">
        <w:rPr>
          <w:rFonts w:ascii="Garamond" w:eastAsia="Times New Roman" w:hAnsi="Garamond" w:cs="Times New Roman"/>
          <w:color w:val="202020"/>
          <w:sz w:val="24"/>
          <w:szCs w:val="24"/>
          <w:lang w:val="en-US" w:eastAsia="it-IT"/>
        </w:rPr>
        <w:t xml:space="preserve"> test with Dunn’s multiple comparison post-hoc testing.</w:t>
      </w:r>
    </w:p>
    <w:p w14:paraId="7E7C291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88DA12C" w14:textId="77777777" w:rsidR="00EA5EC0" w:rsidRDefault="00EA5EC0" w:rsidP="00443F82">
      <w:pPr>
        <w:spacing w:after="0" w:line="360" w:lineRule="auto"/>
        <w:jc w:val="both"/>
        <w:rPr>
          <w:rFonts w:ascii="Garamond" w:eastAsia="Times New Roman" w:hAnsi="Garamond" w:cs="Times New Roman"/>
          <w:b/>
          <w:color w:val="202020"/>
          <w:sz w:val="24"/>
          <w:szCs w:val="24"/>
          <w:lang w:val="en-US" w:eastAsia="it-IT"/>
        </w:rPr>
      </w:pPr>
    </w:p>
    <w:p w14:paraId="02584F68" w14:textId="77777777" w:rsidR="00EA5EC0" w:rsidRDefault="00EA5EC0" w:rsidP="00443F82">
      <w:pPr>
        <w:spacing w:after="0" w:line="360" w:lineRule="auto"/>
        <w:jc w:val="both"/>
        <w:rPr>
          <w:rFonts w:ascii="Garamond" w:eastAsia="Times New Roman" w:hAnsi="Garamond" w:cs="Times New Roman"/>
          <w:b/>
          <w:color w:val="202020"/>
          <w:sz w:val="24"/>
          <w:szCs w:val="24"/>
          <w:lang w:val="en-US" w:eastAsia="it-IT"/>
        </w:rPr>
      </w:pPr>
    </w:p>
    <w:p w14:paraId="7C4243A7" w14:textId="52181E89"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Results</w:t>
      </w:r>
    </w:p>
    <w:p w14:paraId="152A634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0852B10E" w14:textId="2CC0A4D1"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Table 1 reports Socio</w:t>
      </w:r>
      <w:r w:rsidRPr="00443F82">
        <w:rPr>
          <w:rFonts w:ascii="Cambria Math" w:eastAsia="Times New Roman" w:hAnsi="Cambria Math" w:cs="Cambria Math"/>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demographic and clinical characteristics of the study sample. 60 patients with COVID 19 were recruited from hospitals in the city of Foggia and the city of Bari (31 F, 29 M, mean age 53.1 and 57.7, respectively). The duration of hospitalization was on average 16.8 days for women and 17.7 days for men (Table 1). In our sample more than half of patients showed clinical or subclinical anxiety and depressive symptoms </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n=22 (36.67%), n=9 (15%); n=22 (36.67%), 12 (20%), respectively</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Moreover, 58,3% of our sample reported clinical post-traumatic stress symptoms. Resilience levels were in a medium range (71.0 ± 15.2).</w:t>
      </w:r>
    </w:p>
    <w:p w14:paraId="675F1451"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b/>
          <w:bCs/>
          <w:color w:val="202020"/>
          <w:sz w:val="24"/>
          <w:szCs w:val="24"/>
          <w:lang w:val="en-US" w:eastAsia="it-IT"/>
        </w:rPr>
        <w:t>Table 1.</w:t>
      </w:r>
      <w:r w:rsidRPr="00443F82">
        <w:rPr>
          <w:rFonts w:ascii="Garamond" w:eastAsia="Times New Roman" w:hAnsi="Garamond" w:cs="Times New Roman"/>
          <w:color w:val="202020"/>
          <w:sz w:val="24"/>
          <w:szCs w:val="24"/>
          <w:lang w:val="en-US" w:eastAsia="it-IT"/>
        </w:rPr>
        <w:t xml:space="preserve"> Socio</w:t>
      </w:r>
      <w:r w:rsidRPr="00443F82">
        <w:rPr>
          <w:rFonts w:ascii="Cambria Math" w:eastAsia="Times New Roman" w:hAnsi="Cambria Math" w:cs="Cambria Math"/>
          <w:color w:val="202020"/>
          <w:sz w:val="24"/>
          <w:szCs w:val="24"/>
          <w:lang w:val="en-US" w:eastAsia="it-IT"/>
        </w:rPr>
        <w:t>‐</w:t>
      </w:r>
      <w:r w:rsidRPr="00443F82">
        <w:rPr>
          <w:rFonts w:ascii="Garamond" w:eastAsia="Times New Roman" w:hAnsi="Garamond" w:cs="Times New Roman"/>
          <w:color w:val="202020"/>
          <w:sz w:val="24"/>
          <w:szCs w:val="24"/>
          <w:lang w:val="en-US" w:eastAsia="it-IT"/>
        </w:rPr>
        <w:t>demographic characteristics of the study sample</w:t>
      </w:r>
    </w:p>
    <w:tbl>
      <w:tblPr>
        <w:tblW w:w="7655" w:type="dxa"/>
        <w:tblBorders>
          <w:top w:val="nil"/>
          <w:left w:val="nil"/>
          <w:bottom w:val="nil"/>
          <w:right w:val="nil"/>
          <w:insideH w:val="nil"/>
          <w:insideV w:val="nil"/>
        </w:tblBorders>
        <w:tblLayout w:type="fixed"/>
        <w:tblLook w:val="0600" w:firstRow="0" w:lastRow="0" w:firstColumn="0" w:lastColumn="0" w:noHBand="1" w:noVBand="1"/>
      </w:tblPr>
      <w:tblGrid>
        <w:gridCol w:w="2552"/>
        <w:gridCol w:w="1843"/>
        <w:gridCol w:w="1559"/>
        <w:gridCol w:w="1701"/>
      </w:tblGrid>
      <w:tr w:rsidR="00425E0F" w:rsidRPr="00443F82" w14:paraId="0B1BD39C" w14:textId="77777777" w:rsidTr="00C8424F">
        <w:trPr>
          <w:trHeight w:val="555"/>
        </w:trPr>
        <w:tc>
          <w:tcPr>
            <w:tcW w:w="2552" w:type="dxa"/>
            <w:tcBorders>
              <w:top w:val="single" w:sz="8" w:space="0" w:color="000000"/>
              <w:left w:val="nil"/>
              <w:bottom w:val="single" w:sz="8" w:space="0" w:color="000000"/>
              <w:right w:val="nil"/>
            </w:tcBorders>
            <w:tcMar>
              <w:top w:w="100" w:type="dxa"/>
              <w:left w:w="100" w:type="dxa"/>
              <w:bottom w:w="100" w:type="dxa"/>
              <w:right w:w="100" w:type="dxa"/>
            </w:tcMar>
          </w:tcPr>
          <w:p w14:paraId="459B440A" w14:textId="77777777" w:rsidR="00425E0F" w:rsidRPr="00443F82" w:rsidRDefault="00425E0F" w:rsidP="00443F82">
            <w:pPr>
              <w:tabs>
                <w:tab w:val="left" w:pos="206"/>
                <w:tab w:val="center" w:pos="1176"/>
              </w:tabs>
              <w:spacing w:after="0" w:line="360" w:lineRule="auto"/>
              <w:jc w:val="both"/>
              <w:rPr>
                <w:rFonts w:ascii="Garamond" w:eastAsia="Times New Roman" w:hAnsi="Garamond" w:cs="Times New Roman"/>
                <w:b/>
                <w:bCs/>
                <w:color w:val="202020"/>
                <w:sz w:val="24"/>
                <w:szCs w:val="24"/>
                <w:lang w:val="en-US" w:eastAsia="it-IT"/>
              </w:rPr>
            </w:pPr>
            <w:r w:rsidRPr="00443F82">
              <w:rPr>
                <w:rFonts w:ascii="Garamond" w:eastAsia="Times New Roman" w:hAnsi="Garamond" w:cs="Times New Roman"/>
                <w:b/>
                <w:bCs/>
                <w:color w:val="202020"/>
                <w:sz w:val="24"/>
                <w:szCs w:val="24"/>
                <w:lang w:val="en-US" w:eastAsia="it-IT"/>
              </w:rPr>
              <w:tab/>
              <w:t>Variable</w:t>
            </w:r>
          </w:p>
        </w:tc>
        <w:tc>
          <w:tcPr>
            <w:tcW w:w="1843" w:type="dxa"/>
            <w:tcBorders>
              <w:top w:val="single" w:sz="8" w:space="0" w:color="000000"/>
              <w:left w:val="nil"/>
              <w:bottom w:val="single" w:sz="8" w:space="0" w:color="000000"/>
              <w:right w:val="nil"/>
            </w:tcBorders>
            <w:tcMar>
              <w:top w:w="100" w:type="dxa"/>
              <w:left w:w="100" w:type="dxa"/>
              <w:bottom w:w="100" w:type="dxa"/>
              <w:right w:w="100" w:type="dxa"/>
            </w:tcMar>
          </w:tcPr>
          <w:p w14:paraId="708DFA96"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r w:rsidRPr="00443F82">
              <w:rPr>
                <w:rFonts w:ascii="Garamond" w:eastAsia="Times New Roman" w:hAnsi="Garamond" w:cs="Times New Roman"/>
                <w:b/>
                <w:bCs/>
                <w:color w:val="202020"/>
                <w:sz w:val="24"/>
                <w:szCs w:val="24"/>
                <w:lang w:val="it-IT" w:eastAsia="it-IT"/>
              </w:rPr>
              <w:t>Male n=29</w:t>
            </w:r>
          </w:p>
        </w:tc>
        <w:tc>
          <w:tcPr>
            <w:tcW w:w="1559" w:type="dxa"/>
            <w:tcBorders>
              <w:top w:val="single" w:sz="8" w:space="0" w:color="000000"/>
              <w:left w:val="nil"/>
              <w:bottom w:val="single" w:sz="8" w:space="0" w:color="000000"/>
              <w:right w:val="nil"/>
            </w:tcBorders>
            <w:tcMar>
              <w:top w:w="100" w:type="dxa"/>
              <w:left w:w="100" w:type="dxa"/>
              <w:bottom w:w="100" w:type="dxa"/>
              <w:right w:w="100" w:type="dxa"/>
            </w:tcMar>
          </w:tcPr>
          <w:p w14:paraId="11D34D39"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proofErr w:type="spellStart"/>
            <w:r w:rsidRPr="00443F82">
              <w:rPr>
                <w:rFonts w:ascii="Garamond" w:eastAsia="Times New Roman" w:hAnsi="Garamond" w:cs="Times New Roman"/>
                <w:b/>
                <w:bCs/>
                <w:color w:val="202020"/>
                <w:sz w:val="24"/>
                <w:szCs w:val="24"/>
                <w:lang w:val="it-IT" w:eastAsia="it-IT"/>
              </w:rPr>
              <w:t>Female</w:t>
            </w:r>
            <w:proofErr w:type="spellEnd"/>
            <w:r w:rsidRPr="00443F82">
              <w:rPr>
                <w:rFonts w:ascii="Garamond" w:eastAsia="Times New Roman" w:hAnsi="Garamond" w:cs="Times New Roman"/>
                <w:b/>
                <w:bCs/>
                <w:color w:val="202020"/>
                <w:sz w:val="24"/>
                <w:szCs w:val="24"/>
                <w:lang w:val="it-IT" w:eastAsia="it-IT"/>
              </w:rPr>
              <w:t xml:space="preserve"> n=31</w:t>
            </w:r>
          </w:p>
        </w:tc>
        <w:tc>
          <w:tcPr>
            <w:tcW w:w="1701" w:type="dxa"/>
            <w:tcBorders>
              <w:top w:val="single" w:sz="8" w:space="0" w:color="000000"/>
              <w:left w:val="nil"/>
              <w:bottom w:val="single" w:sz="8" w:space="0" w:color="000000"/>
              <w:right w:val="nil"/>
            </w:tcBorders>
            <w:tcMar>
              <w:top w:w="100" w:type="dxa"/>
              <w:left w:w="100" w:type="dxa"/>
              <w:bottom w:w="100" w:type="dxa"/>
              <w:right w:w="100" w:type="dxa"/>
            </w:tcMar>
          </w:tcPr>
          <w:p w14:paraId="72463994"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r w:rsidRPr="00443F82">
              <w:rPr>
                <w:rFonts w:ascii="Garamond" w:eastAsia="Times New Roman" w:hAnsi="Garamond" w:cs="Times New Roman"/>
                <w:b/>
                <w:bCs/>
                <w:color w:val="202020"/>
                <w:sz w:val="24"/>
                <w:szCs w:val="24"/>
                <w:lang w:val="it-IT" w:eastAsia="it-IT"/>
              </w:rPr>
              <w:t>Total Sample</w:t>
            </w:r>
          </w:p>
        </w:tc>
      </w:tr>
      <w:tr w:rsidR="00425E0F" w:rsidRPr="00443F82" w14:paraId="70C94F83" w14:textId="77777777" w:rsidTr="00C8424F">
        <w:trPr>
          <w:trHeight w:val="361"/>
        </w:trPr>
        <w:tc>
          <w:tcPr>
            <w:tcW w:w="2552" w:type="dxa"/>
            <w:tcBorders>
              <w:top w:val="nil"/>
              <w:left w:val="nil"/>
              <w:bottom w:val="nil"/>
              <w:right w:val="nil"/>
            </w:tcBorders>
            <w:tcMar>
              <w:top w:w="100" w:type="dxa"/>
              <w:left w:w="100" w:type="dxa"/>
              <w:bottom w:w="100" w:type="dxa"/>
              <w:right w:w="100" w:type="dxa"/>
            </w:tcMar>
          </w:tcPr>
          <w:p w14:paraId="4591D06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lastRenderedPageBreak/>
              <w:t>Age (M ± DS)</w:t>
            </w:r>
          </w:p>
        </w:tc>
        <w:tc>
          <w:tcPr>
            <w:tcW w:w="1843" w:type="dxa"/>
            <w:tcBorders>
              <w:top w:val="nil"/>
              <w:left w:val="nil"/>
              <w:bottom w:val="nil"/>
              <w:right w:val="nil"/>
            </w:tcBorders>
            <w:tcMar>
              <w:top w:w="100" w:type="dxa"/>
              <w:left w:w="100" w:type="dxa"/>
              <w:bottom w:w="100" w:type="dxa"/>
              <w:right w:w="100" w:type="dxa"/>
            </w:tcMar>
          </w:tcPr>
          <w:p w14:paraId="05F5CDC0"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57.79 ± 8.815</w:t>
            </w:r>
          </w:p>
        </w:tc>
        <w:tc>
          <w:tcPr>
            <w:tcW w:w="1559" w:type="dxa"/>
            <w:tcBorders>
              <w:top w:val="nil"/>
              <w:left w:val="nil"/>
              <w:bottom w:val="nil"/>
              <w:right w:val="nil"/>
            </w:tcBorders>
            <w:tcMar>
              <w:top w:w="100" w:type="dxa"/>
              <w:left w:w="100" w:type="dxa"/>
              <w:bottom w:w="100" w:type="dxa"/>
              <w:right w:w="100" w:type="dxa"/>
            </w:tcMar>
          </w:tcPr>
          <w:p w14:paraId="41E304A9"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53.11±12.206</w:t>
            </w:r>
          </w:p>
        </w:tc>
        <w:tc>
          <w:tcPr>
            <w:tcW w:w="1701" w:type="dxa"/>
            <w:tcBorders>
              <w:top w:val="nil"/>
              <w:left w:val="nil"/>
              <w:bottom w:val="nil"/>
              <w:right w:val="nil"/>
            </w:tcBorders>
            <w:tcMar>
              <w:top w:w="100" w:type="dxa"/>
              <w:left w:w="100" w:type="dxa"/>
              <w:bottom w:w="100" w:type="dxa"/>
              <w:right w:w="100" w:type="dxa"/>
            </w:tcMar>
          </w:tcPr>
          <w:p w14:paraId="3D368CE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56.13 ± 10.77</w:t>
            </w:r>
          </w:p>
        </w:tc>
      </w:tr>
      <w:tr w:rsidR="00425E0F" w:rsidRPr="00443F82" w14:paraId="4740077D" w14:textId="77777777" w:rsidTr="00C8424F">
        <w:trPr>
          <w:trHeight w:val="215"/>
        </w:trPr>
        <w:tc>
          <w:tcPr>
            <w:tcW w:w="2552" w:type="dxa"/>
            <w:tcBorders>
              <w:top w:val="nil"/>
              <w:left w:val="nil"/>
              <w:bottom w:val="nil"/>
              <w:right w:val="nil"/>
            </w:tcBorders>
            <w:tcMar>
              <w:top w:w="100" w:type="dxa"/>
              <w:left w:w="100" w:type="dxa"/>
              <w:bottom w:w="100" w:type="dxa"/>
              <w:right w:w="100" w:type="dxa"/>
            </w:tcMar>
          </w:tcPr>
          <w:p w14:paraId="75FC589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proofErr w:type="spellStart"/>
            <w:r w:rsidRPr="00443F82">
              <w:rPr>
                <w:rFonts w:ascii="Garamond" w:eastAsia="Times New Roman" w:hAnsi="Garamond" w:cs="Times New Roman"/>
                <w:color w:val="202020"/>
                <w:sz w:val="24"/>
                <w:szCs w:val="24"/>
                <w:lang w:val="it-IT" w:eastAsia="it-IT"/>
              </w:rPr>
              <w:t>Hospitalized</w:t>
            </w:r>
            <w:proofErr w:type="spellEnd"/>
            <w:r w:rsidRPr="00443F82">
              <w:rPr>
                <w:rFonts w:ascii="Garamond" w:eastAsia="Times New Roman" w:hAnsi="Garamond" w:cs="Times New Roman"/>
                <w:color w:val="202020"/>
                <w:sz w:val="24"/>
                <w:szCs w:val="24"/>
                <w:lang w:val="it-IT" w:eastAsia="it-IT"/>
              </w:rPr>
              <w:t xml:space="preserve"> </w:t>
            </w:r>
            <w:proofErr w:type="spellStart"/>
            <w:r w:rsidRPr="00443F82">
              <w:rPr>
                <w:rFonts w:ascii="Garamond" w:eastAsia="Times New Roman" w:hAnsi="Garamond" w:cs="Times New Roman"/>
                <w:color w:val="202020"/>
                <w:sz w:val="24"/>
                <w:szCs w:val="24"/>
                <w:lang w:val="it-IT" w:eastAsia="it-IT"/>
              </w:rPr>
              <w:t>Patients</w:t>
            </w:r>
            <w:proofErr w:type="spellEnd"/>
          </w:p>
        </w:tc>
        <w:tc>
          <w:tcPr>
            <w:tcW w:w="1843" w:type="dxa"/>
            <w:tcBorders>
              <w:top w:val="nil"/>
              <w:left w:val="nil"/>
              <w:bottom w:val="nil"/>
              <w:right w:val="nil"/>
            </w:tcBorders>
            <w:tcMar>
              <w:top w:w="100" w:type="dxa"/>
              <w:left w:w="100" w:type="dxa"/>
              <w:bottom w:w="100" w:type="dxa"/>
              <w:right w:w="100" w:type="dxa"/>
            </w:tcMar>
          </w:tcPr>
          <w:p w14:paraId="6CE05AF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19 (65.52%)</w:t>
            </w:r>
          </w:p>
        </w:tc>
        <w:tc>
          <w:tcPr>
            <w:tcW w:w="1559" w:type="dxa"/>
            <w:tcBorders>
              <w:top w:val="nil"/>
              <w:left w:val="nil"/>
              <w:bottom w:val="nil"/>
              <w:right w:val="nil"/>
            </w:tcBorders>
            <w:tcMar>
              <w:top w:w="100" w:type="dxa"/>
              <w:left w:w="100" w:type="dxa"/>
              <w:bottom w:w="100" w:type="dxa"/>
              <w:right w:w="100" w:type="dxa"/>
            </w:tcMar>
          </w:tcPr>
          <w:p w14:paraId="760ED77F"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19 (61.29%)</w:t>
            </w:r>
          </w:p>
        </w:tc>
        <w:tc>
          <w:tcPr>
            <w:tcW w:w="1701" w:type="dxa"/>
            <w:tcBorders>
              <w:top w:val="nil"/>
              <w:left w:val="nil"/>
              <w:bottom w:val="nil"/>
              <w:right w:val="nil"/>
            </w:tcBorders>
            <w:tcMar>
              <w:top w:w="100" w:type="dxa"/>
              <w:left w:w="100" w:type="dxa"/>
              <w:bottom w:w="100" w:type="dxa"/>
              <w:right w:w="100" w:type="dxa"/>
            </w:tcMar>
          </w:tcPr>
          <w:p w14:paraId="326E29A2"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38 (63.33%)</w:t>
            </w:r>
          </w:p>
        </w:tc>
      </w:tr>
      <w:tr w:rsidR="00425E0F" w:rsidRPr="00443F82" w14:paraId="7485950C" w14:textId="77777777" w:rsidTr="00C8424F">
        <w:trPr>
          <w:trHeight w:val="1215"/>
        </w:trPr>
        <w:tc>
          <w:tcPr>
            <w:tcW w:w="2552" w:type="dxa"/>
            <w:tcBorders>
              <w:top w:val="nil"/>
              <w:left w:val="nil"/>
              <w:bottom w:val="nil"/>
              <w:right w:val="nil"/>
            </w:tcBorders>
            <w:tcMar>
              <w:top w:w="100" w:type="dxa"/>
              <w:left w:w="100" w:type="dxa"/>
              <w:bottom w:w="100" w:type="dxa"/>
              <w:right w:w="100" w:type="dxa"/>
            </w:tcMar>
          </w:tcPr>
          <w:p w14:paraId="7E6C25D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Marital status</w:t>
            </w:r>
          </w:p>
          <w:p w14:paraId="15F59F3A"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Single</w:t>
            </w:r>
          </w:p>
          <w:p w14:paraId="0AEA250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With a partner</w:t>
            </w:r>
          </w:p>
        </w:tc>
        <w:tc>
          <w:tcPr>
            <w:tcW w:w="1843" w:type="dxa"/>
            <w:tcBorders>
              <w:top w:val="nil"/>
              <w:left w:val="nil"/>
              <w:bottom w:val="nil"/>
              <w:right w:val="nil"/>
            </w:tcBorders>
            <w:tcMar>
              <w:top w:w="100" w:type="dxa"/>
              <w:left w:w="100" w:type="dxa"/>
              <w:bottom w:w="100" w:type="dxa"/>
              <w:right w:w="100" w:type="dxa"/>
            </w:tcMar>
          </w:tcPr>
          <w:p w14:paraId="539A3BE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5EF9E58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 (17.24%)</w:t>
            </w:r>
          </w:p>
          <w:p w14:paraId="33E6BA7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23 (82.76%)</w:t>
            </w:r>
          </w:p>
        </w:tc>
        <w:tc>
          <w:tcPr>
            <w:tcW w:w="1559" w:type="dxa"/>
            <w:tcBorders>
              <w:top w:val="nil"/>
              <w:left w:val="nil"/>
              <w:bottom w:val="nil"/>
              <w:right w:val="nil"/>
            </w:tcBorders>
            <w:tcMar>
              <w:top w:w="100" w:type="dxa"/>
              <w:left w:w="100" w:type="dxa"/>
              <w:bottom w:w="100" w:type="dxa"/>
              <w:right w:w="100" w:type="dxa"/>
            </w:tcMar>
          </w:tcPr>
          <w:p w14:paraId="358B517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3CC07EC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13 (41.94%)</w:t>
            </w:r>
          </w:p>
          <w:p w14:paraId="3FCD1FAB"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18 (58.06%)</w:t>
            </w:r>
          </w:p>
        </w:tc>
        <w:tc>
          <w:tcPr>
            <w:tcW w:w="1701" w:type="dxa"/>
            <w:tcBorders>
              <w:top w:val="nil"/>
              <w:left w:val="nil"/>
              <w:bottom w:val="nil"/>
              <w:right w:val="nil"/>
            </w:tcBorders>
            <w:tcMar>
              <w:top w:w="100" w:type="dxa"/>
              <w:left w:w="100" w:type="dxa"/>
              <w:bottom w:w="100" w:type="dxa"/>
              <w:right w:w="100" w:type="dxa"/>
            </w:tcMar>
          </w:tcPr>
          <w:p w14:paraId="3B44A88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54013E5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18 (%)</w:t>
            </w:r>
          </w:p>
          <w:p w14:paraId="4EC19BDF"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41 (%)</w:t>
            </w:r>
          </w:p>
        </w:tc>
      </w:tr>
      <w:tr w:rsidR="00425E0F" w:rsidRPr="00443F82" w14:paraId="3AC2BCBC" w14:textId="77777777" w:rsidTr="00C8424F">
        <w:trPr>
          <w:trHeight w:val="421"/>
        </w:trPr>
        <w:tc>
          <w:tcPr>
            <w:tcW w:w="2552" w:type="dxa"/>
            <w:tcBorders>
              <w:top w:val="nil"/>
              <w:left w:val="nil"/>
              <w:bottom w:val="single" w:sz="4" w:space="0" w:color="auto"/>
              <w:right w:val="nil"/>
            </w:tcBorders>
            <w:tcMar>
              <w:top w:w="100" w:type="dxa"/>
              <w:left w:w="100" w:type="dxa"/>
              <w:bottom w:w="100" w:type="dxa"/>
              <w:right w:w="100" w:type="dxa"/>
            </w:tcMar>
          </w:tcPr>
          <w:p w14:paraId="43B3E1C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Years of education (M ± DS)</w:t>
            </w:r>
          </w:p>
        </w:tc>
        <w:tc>
          <w:tcPr>
            <w:tcW w:w="1843" w:type="dxa"/>
            <w:tcBorders>
              <w:top w:val="nil"/>
              <w:left w:val="nil"/>
              <w:bottom w:val="single" w:sz="4" w:space="0" w:color="auto"/>
              <w:right w:val="nil"/>
            </w:tcBorders>
            <w:tcMar>
              <w:top w:w="100" w:type="dxa"/>
              <w:left w:w="100" w:type="dxa"/>
              <w:bottom w:w="100" w:type="dxa"/>
              <w:right w:w="100" w:type="dxa"/>
            </w:tcMar>
          </w:tcPr>
          <w:p w14:paraId="66EA3370"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10.89 ± 3.4</w:t>
            </w:r>
          </w:p>
        </w:tc>
        <w:tc>
          <w:tcPr>
            <w:tcW w:w="1559" w:type="dxa"/>
            <w:tcBorders>
              <w:top w:val="nil"/>
              <w:left w:val="nil"/>
              <w:bottom w:val="single" w:sz="4" w:space="0" w:color="auto"/>
              <w:right w:val="nil"/>
            </w:tcBorders>
            <w:tcMar>
              <w:top w:w="100" w:type="dxa"/>
              <w:left w:w="100" w:type="dxa"/>
              <w:bottom w:w="100" w:type="dxa"/>
              <w:right w:w="100" w:type="dxa"/>
            </w:tcMar>
          </w:tcPr>
          <w:p w14:paraId="41C431D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12.84 ± 3.97</w:t>
            </w:r>
          </w:p>
        </w:tc>
        <w:tc>
          <w:tcPr>
            <w:tcW w:w="1701" w:type="dxa"/>
            <w:tcBorders>
              <w:top w:val="nil"/>
              <w:left w:val="nil"/>
              <w:bottom w:val="single" w:sz="4" w:space="0" w:color="auto"/>
              <w:right w:val="nil"/>
            </w:tcBorders>
            <w:tcMar>
              <w:top w:w="100" w:type="dxa"/>
              <w:left w:w="100" w:type="dxa"/>
              <w:bottom w:w="100" w:type="dxa"/>
              <w:right w:w="100" w:type="dxa"/>
            </w:tcMar>
          </w:tcPr>
          <w:p w14:paraId="1EB9035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11.9 ± 3.81</w:t>
            </w:r>
          </w:p>
        </w:tc>
      </w:tr>
    </w:tbl>
    <w:p w14:paraId="5BCF49BE"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3A4CE8DF" w14:textId="0EFEC9B2"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The mean scores on psychological variables of the total sample are presented in Table 2. There was a significant main effect of female gender on the perception of stress (p = 0.0001), particularly on the perception of distress (p = 0.0196). In addition, posttraumatic stress symptomatology characterized by hyperarousal manifestations was significantly higher in the female gender (p = 0.0049). Through student t-statistical analysis, we found a predominance of depressive symptomatology in the female population (p = 0.0453). In fact, the trait of neuroticism also appears significantly more pronounced in women (p &lt; 0.0001) (Table 2). However, we found statistically significant differences in mean scores on the subscale assessing the well-being subdimension of the PSI test in the male gender (p = 0.0196). In addition, the levels of resilience expressed in men were significantly higher (p = 0.0346) (Table 2).</w:t>
      </w:r>
    </w:p>
    <w:p w14:paraId="5F8C62BE" w14:textId="61097147"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p>
    <w:p w14:paraId="424BAA54" w14:textId="3725B5C4" w:rsidR="00425E0F" w:rsidRPr="00443F82" w:rsidRDefault="00425E0F"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b/>
          <w:bCs/>
          <w:color w:val="202020"/>
          <w:sz w:val="24"/>
          <w:szCs w:val="24"/>
          <w:lang w:val="en-US"/>
        </w:rPr>
        <w:t>Table 2.</w:t>
      </w:r>
      <w:r w:rsidRPr="00443F82">
        <w:rPr>
          <w:rFonts w:ascii="Garamond" w:eastAsia="Times New Roman" w:hAnsi="Garamond" w:cs="Times New Roman"/>
          <w:color w:val="202020"/>
          <w:sz w:val="24"/>
          <w:szCs w:val="24"/>
          <w:lang w:val="en-US"/>
        </w:rPr>
        <w:t xml:space="preserve"> Psychological and clinical characteristics in our sample considering gender</w:t>
      </w:r>
    </w:p>
    <w:tbl>
      <w:tblPr>
        <w:tblW w:w="8219"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2974"/>
        <w:gridCol w:w="1417"/>
        <w:gridCol w:w="1276"/>
        <w:gridCol w:w="992"/>
        <w:gridCol w:w="1560"/>
      </w:tblGrid>
      <w:tr w:rsidR="00425E0F" w:rsidRPr="00443F82" w14:paraId="059EBE56" w14:textId="77777777" w:rsidTr="00425E0F">
        <w:trPr>
          <w:trHeight w:val="825"/>
        </w:trPr>
        <w:tc>
          <w:tcPr>
            <w:tcW w:w="2974" w:type="dxa"/>
            <w:tcBorders>
              <w:top w:val="single" w:sz="8" w:space="0" w:color="000000"/>
              <w:left w:val="nil"/>
              <w:bottom w:val="single" w:sz="8" w:space="0" w:color="000000"/>
              <w:right w:val="nil"/>
            </w:tcBorders>
            <w:tcMar>
              <w:top w:w="100" w:type="dxa"/>
              <w:left w:w="100" w:type="dxa"/>
              <w:bottom w:w="100" w:type="dxa"/>
              <w:right w:w="100" w:type="dxa"/>
            </w:tcMar>
          </w:tcPr>
          <w:p w14:paraId="5E811288"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 xml:space="preserve">Variable </w:t>
            </w:r>
          </w:p>
        </w:tc>
        <w:tc>
          <w:tcPr>
            <w:tcW w:w="1417" w:type="dxa"/>
            <w:tcBorders>
              <w:top w:val="single" w:sz="8" w:space="0" w:color="000000"/>
              <w:left w:val="nil"/>
              <w:bottom w:val="single" w:sz="8" w:space="0" w:color="000000"/>
              <w:right w:val="nil"/>
            </w:tcBorders>
            <w:tcMar>
              <w:top w:w="100" w:type="dxa"/>
              <w:left w:w="100" w:type="dxa"/>
              <w:bottom w:w="100" w:type="dxa"/>
              <w:right w:w="100" w:type="dxa"/>
            </w:tcMar>
          </w:tcPr>
          <w:p w14:paraId="18B0C6AC"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n=29</w:t>
            </w:r>
          </w:p>
          <w:p w14:paraId="50C2711A"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 SD)</w:t>
            </w:r>
          </w:p>
        </w:tc>
        <w:tc>
          <w:tcPr>
            <w:tcW w:w="1276" w:type="dxa"/>
            <w:tcBorders>
              <w:top w:val="single" w:sz="8" w:space="0" w:color="000000"/>
              <w:left w:val="nil"/>
              <w:bottom w:val="single" w:sz="8" w:space="0" w:color="000000"/>
              <w:right w:val="nil"/>
            </w:tcBorders>
            <w:tcMar>
              <w:top w:w="100" w:type="dxa"/>
              <w:left w:w="100" w:type="dxa"/>
              <w:bottom w:w="100" w:type="dxa"/>
              <w:right w:w="100" w:type="dxa"/>
            </w:tcMar>
          </w:tcPr>
          <w:p w14:paraId="4E79CA43"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F n=31</w:t>
            </w:r>
          </w:p>
          <w:p w14:paraId="315141AF"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 SD)</w:t>
            </w:r>
          </w:p>
        </w:tc>
        <w:tc>
          <w:tcPr>
            <w:tcW w:w="992" w:type="dxa"/>
            <w:tcBorders>
              <w:top w:val="single" w:sz="8" w:space="0" w:color="000000"/>
              <w:left w:val="nil"/>
              <w:bottom w:val="single" w:sz="8" w:space="0" w:color="000000"/>
              <w:right w:val="nil"/>
            </w:tcBorders>
            <w:tcMar>
              <w:top w:w="100" w:type="dxa"/>
              <w:left w:w="100" w:type="dxa"/>
              <w:bottom w:w="100" w:type="dxa"/>
              <w:right w:w="100" w:type="dxa"/>
            </w:tcMar>
          </w:tcPr>
          <w:p w14:paraId="1551AC25" w14:textId="77777777" w:rsidR="00425E0F" w:rsidRPr="00443F82" w:rsidRDefault="00425E0F" w:rsidP="00443F82">
            <w:pPr>
              <w:spacing w:line="360" w:lineRule="auto"/>
              <w:rPr>
                <w:rFonts w:ascii="Garamond" w:eastAsia="Times New Roman" w:hAnsi="Garamond" w:cs="Times New Roman"/>
                <w:b/>
                <w:bCs/>
                <w:i/>
                <w:iCs/>
                <w:color w:val="202020"/>
                <w:sz w:val="24"/>
                <w:szCs w:val="24"/>
              </w:rPr>
            </w:pPr>
            <w:r w:rsidRPr="00443F82">
              <w:rPr>
                <w:rFonts w:ascii="Garamond" w:eastAsia="Times New Roman" w:hAnsi="Garamond" w:cs="Times New Roman"/>
                <w:b/>
                <w:bCs/>
                <w:i/>
                <w:iCs/>
                <w:color w:val="202020"/>
                <w:sz w:val="24"/>
                <w:szCs w:val="24"/>
              </w:rPr>
              <w:t>p</w:t>
            </w:r>
          </w:p>
        </w:tc>
        <w:tc>
          <w:tcPr>
            <w:tcW w:w="1560" w:type="dxa"/>
            <w:tcBorders>
              <w:top w:val="single" w:sz="8" w:space="0" w:color="000000"/>
              <w:left w:val="nil"/>
              <w:bottom w:val="single" w:sz="8" w:space="0" w:color="000000"/>
              <w:right w:val="nil"/>
            </w:tcBorders>
            <w:tcMar>
              <w:top w:w="100" w:type="dxa"/>
              <w:left w:w="100" w:type="dxa"/>
              <w:bottom w:w="100" w:type="dxa"/>
              <w:right w:w="100" w:type="dxa"/>
            </w:tcMar>
          </w:tcPr>
          <w:p w14:paraId="7945CB8C"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Total Sample n=60</w:t>
            </w:r>
          </w:p>
        </w:tc>
      </w:tr>
      <w:tr w:rsidR="00425E0F" w:rsidRPr="00443F82" w14:paraId="016EFC9E" w14:textId="77777777" w:rsidTr="00425E0F">
        <w:trPr>
          <w:trHeight w:val="510"/>
        </w:trPr>
        <w:tc>
          <w:tcPr>
            <w:tcW w:w="2974" w:type="dxa"/>
            <w:tcBorders>
              <w:top w:val="nil"/>
              <w:left w:val="nil"/>
              <w:bottom w:val="nil"/>
              <w:right w:val="nil"/>
            </w:tcBorders>
            <w:tcMar>
              <w:top w:w="100" w:type="dxa"/>
              <w:left w:w="100" w:type="dxa"/>
              <w:bottom w:w="100" w:type="dxa"/>
              <w:right w:w="100" w:type="dxa"/>
            </w:tcMar>
          </w:tcPr>
          <w:p w14:paraId="35F8A21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Stress</w:t>
            </w:r>
          </w:p>
        </w:tc>
        <w:tc>
          <w:tcPr>
            <w:tcW w:w="1417" w:type="dxa"/>
            <w:tcBorders>
              <w:top w:val="nil"/>
              <w:left w:val="nil"/>
              <w:bottom w:val="nil"/>
              <w:right w:val="nil"/>
            </w:tcBorders>
            <w:tcMar>
              <w:top w:w="100" w:type="dxa"/>
              <w:left w:w="100" w:type="dxa"/>
              <w:bottom w:w="100" w:type="dxa"/>
              <w:right w:w="100" w:type="dxa"/>
            </w:tcMar>
          </w:tcPr>
          <w:p w14:paraId="1E7007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2.13 ± 0.37</w:t>
            </w:r>
          </w:p>
        </w:tc>
        <w:tc>
          <w:tcPr>
            <w:tcW w:w="1276" w:type="dxa"/>
            <w:tcBorders>
              <w:top w:val="nil"/>
              <w:left w:val="nil"/>
              <w:bottom w:val="nil"/>
              <w:right w:val="nil"/>
            </w:tcBorders>
            <w:tcMar>
              <w:top w:w="100" w:type="dxa"/>
              <w:left w:w="100" w:type="dxa"/>
              <w:bottom w:w="100" w:type="dxa"/>
              <w:right w:w="100" w:type="dxa"/>
            </w:tcMar>
          </w:tcPr>
          <w:p w14:paraId="4AD1397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4.51 ± 0.43</w:t>
            </w:r>
          </w:p>
        </w:tc>
        <w:tc>
          <w:tcPr>
            <w:tcW w:w="992" w:type="dxa"/>
            <w:tcBorders>
              <w:top w:val="nil"/>
              <w:left w:val="nil"/>
              <w:bottom w:val="nil"/>
              <w:right w:val="nil"/>
            </w:tcBorders>
            <w:tcMar>
              <w:top w:w="100" w:type="dxa"/>
              <w:left w:w="100" w:type="dxa"/>
              <w:bottom w:w="100" w:type="dxa"/>
              <w:right w:w="100" w:type="dxa"/>
            </w:tcMar>
          </w:tcPr>
          <w:p w14:paraId="579699C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0.0001</w:t>
            </w:r>
          </w:p>
        </w:tc>
        <w:tc>
          <w:tcPr>
            <w:tcW w:w="1560" w:type="dxa"/>
            <w:tcBorders>
              <w:top w:val="nil"/>
              <w:left w:val="nil"/>
              <w:bottom w:val="nil"/>
              <w:right w:val="nil"/>
            </w:tcBorders>
            <w:tcMar>
              <w:top w:w="100" w:type="dxa"/>
              <w:left w:w="100" w:type="dxa"/>
              <w:bottom w:w="100" w:type="dxa"/>
              <w:right w:w="100" w:type="dxa"/>
            </w:tcMar>
          </w:tcPr>
          <w:p w14:paraId="4796DB7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3.36 ± 2.50</w:t>
            </w:r>
          </w:p>
        </w:tc>
      </w:tr>
      <w:tr w:rsidR="00425E0F" w:rsidRPr="00443F82" w14:paraId="7C2C36E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19DDE15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PSI </w:t>
            </w:r>
            <w:proofErr w:type="spellStart"/>
            <w:r w:rsidRPr="00443F82">
              <w:rPr>
                <w:rFonts w:ascii="Garamond" w:eastAsia="Times New Roman" w:hAnsi="Garamond" w:cs="Times New Roman"/>
                <w:color w:val="202020"/>
                <w:sz w:val="24"/>
                <w:szCs w:val="24"/>
              </w:rPr>
              <w:t>Benessere</w:t>
            </w:r>
            <w:proofErr w:type="spellEnd"/>
          </w:p>
        </w:tc>
        <w:tc>
          <w:tcPr>
            <w:tcW w:w="1417" w:type="dxa"/>
            <w:tcBorders>
              <w:top w:val="nil"/>
              <w:left w:val="nil"/>
              <w:bottom w:val="nil"/>
              <w:right w:val="nil"/>
            </w:tcBorders>
            <w:tcMar>
              <w:top w:w="100" w:type="dxa"/>
              <w:left w:w="100" w:type="dxa"/>
              <w:bottom w:w="100" w:type="dxa"/>
              <w:right w:w="100" w:type="dxa"/>
            </w:tcMar>
          </w:tcPr>
          <w:p w14:paraId="701A72F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4.51 ± 0.21</w:t>
            </w:r>
          </w:p>
        </w:tc>
        <w:tc>
          <w:tcPr>
            <w:tcW w:w="1276" w:type="dxa"/>
            <w:tcBorders>
              <w:top w:val="nil"/>
              <w:left w:val="nil"/>
              <w:bottom w:val="nil"/>
              <w:right w:val="nil"/>
            </w:tcBorders>
            <w:tcMar>
              <w:top w:w="100" w:type="dxa"/>
              <w:left w:w="100" w:type="dxa"/>
              <w:bottom w:w="100" w:type="dxa"/>
              <w:right w:w="100" w:type="dxa"/>
            </w:tcMar>
          </w:tcPr>
          <w:p w14:paraId="41B9411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3.67 ± 0.27</w:t>
            </w:r>
          </w:p>
        </w:tc>
        <w:tc>
          <w:tcPr>
            <w:tcW w:w="992" w:type="dxa"/>
            <w:tcBorders>
              <w:top w:val="nil"/>
              <w:left w:val="nil"/>
              <w:bottom w:val="nil"/>
              <w:right w:val="nil"/>
            </w:tcBorders>
            <w:tcMar>
              <w:top w:w="100" w:type="dxa"/>
              <w:left w:w="100" w:type="dxa"/>
              <w:bottom w:w="100" w:type="dxa"/>
              <w:right w:w="100" w:type="dxa"/>
            </w:tcMar>
          </w:tcPr>
          <w:p w14:paraId="7B02D90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0.0196</w:t>
            </w:r>
          </w:p>
        </w:tc>
        <w:tc>
          <w:tcPr>
            <w:tcW w:w="1560" w:type="dxa"/>
            <w:tcBorders>
              <w:top w:val="nil"/>
              <w:left w:val="nil"/>
              <w:bottom w:val="nil"/>
              <w:right w:val="nil"/>
            </w:tcBorders>
            <w:tcMar>
              <w:top w:w="100" w:type="dxa"/>
              <w:left w:w="100" w:type="dxa"/>
              <w:bottom w:w="100" w:type="dxa"/>
              <w:right w:w="100" w:type="dxa"/>
            </w:tcMar>
          </w:tcPr>
          <w:p w14:paraId="374C10C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4.08 ± 1.41</w:t>
            </w:r>
          </w:p>
        </w:tc>
      </w:tr>
      <w:tr w:rsidR="00425E0F" w:rsidRPr="00443F82" w14:paraId="3199BB5E"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742ED8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w:t>
            </w:r>
          </w:p>
        </w:tc>
        <w:tc>
          <w:tcPr>
            <w:tcW w:w="1417" w:type="dxa"/>
            <w:tcBorders>
              <w:top w:val="nil"/>
              <w:left w:val="nil"/>
              <w:bottom w:val="nil"/>
              <w:right w:val="nil"/>
            </w:tcBorders>
            <w:tcMar>
              <w:top w:w="100" w:type="dxa"/>
              <w:left w:w="100" w:type="dxa"/>
              <w:bottom w:w="100" w:type="dxa"/>
              <w:right w:w="100" w:type="dxa"/>
            </w:tcMar>
            <w:vAlign w:val="bottom"/>
          </w:tcPr>
          <w:p w14:paraId="6D9EEAB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18.8 ± 1.71</w:t>
            </w:r>
          </w:p>
        </w:tc>
        <w:tc>
          <w:tcPr>
            <w:tcW w:w="1276" w:type="dxa"/>
            <w:tcBorders>
              <w:top w:val="nil"/>
              <w:left w:val="nil"/>
              <w:bottom w:val="nil"/>
              <w:right w:val="nil"/>
            </w:tcBorders>
            <w:tcMar>
              <w:top w:w="100" w:type="dxa"/>
              <w:left w:w="100" w:type="dxa"/>
              <w:bottom w:w="100" w:type="dxa"/>
              <w:right w:w="100" w:type="dxa"/>
            </w:tcMar>
            <w:vAlign w:val="bottom"/>
          </w:tcPr>
          <w:p w14:paraId="04A07CA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25.5 ± 1.57</w:t>
            </w:r>
          </w:p>
        </w:tc>
        <w:tc>
          <w:tcPr>
            <w:tcW w:w="992" w:type="dxa"/>
            <w:tcBorders>
              <w:top w:val="nil"/>
              <w:left w:val="nil"/>
              <w:bottom w:val="nil"/>
              <w:right w:val="nil"/>
            </w:tcBorders>
            <w:tcMar>
              <w:top w:w="100" w:type="dxa"/>
              <w:left w:w="100" w:type="dxa"/>
              <w:bottom w:w="100" w:type="dxa"/>
              <w:right w:w="100" w:type="dxa"/>
            </w:tcMar>
          </w:tcPr>
          <w:p w14:paraId="1BDACF7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0.0053</w:t>
            </w:r>
          </w:p>
        </w:tc>
        <w:tc>
          <w:tcPr>
            <w:tcW w:w="1560" w:type="dxa"/>
            <w:tcBorders>
              <w:top w:val="nil"/>
              <w:left w:val="nil"/>
              <w:bottom w:val="nil"/>
              <w:right w:val="nil"/>
            </w:tcBorders>
            <w:tcMar>
              <w:top w:w="100" w:type="dxa"/>
              <w:left w:w="100" w:type="dxa"/>
              <w:bottom w:w="100" w:type="dxa"/>
              <w:right w:w="100" w:type="dxa"/>
            </w:tcMar>
          </w:tcPr>
          <w:p w14:paraId="3454BB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22.3 ± 9.55</w:t>
            </w:r>
          </w:p>
        </w:tc>
      </w:tr>
      <w:tr w:rsidR="00425E0F" w:rsidRPr="00443F82" w14:paraId="37FEF89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71B5DB7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 Sleep Disorders</w:t>
            </w:r>
          </w:p>
        </w:tc>
        <w:tc>
          <w:tcPr>
            <w:tcW w:w="1417" w:type="dxa"/>
            <w:tcBorders>
              <w:top w:val="nil"/>
              <w:left w:val="nil"/>
              <w:bottom w:val="nil"/>
              <w:right w:val="nil"/>
            </w:tcBorders>
            <w:tcMar>
              <w:top w:w="100" w:type="dxa"/>
              <w:left w:w="100" w:type="dxa"/>
              <w:bottom w:w="100" w:type="dxa"/>
              <w:right w:w="100" w:type="dxa"/>
            </w:tcMar>
            <w:vAlign w:val="bottom"/>
          </w:tcPr>
          <w:p w14:paraId="68B147A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6.41 ± 0.64</w:t>
            </w:r>
          </w:p>
        </w:tc>
        <w:tc>
          <w:tcPr>
            <w:tcW w:w="1276" w:type="dxa"/>
            <w:tcBorders>
              <w:top w:val="nil"/>
              <w:left w:val="nil"/>
              <w:bottom w:val="nil"/>
              <w:right w:val="nil"/>
            </w:tcBorders>
            <w:tcMar>
              <w:top w:w="100" w:type="dxa"/>
              <w:left w:w="100" w:type="dxa"/>
              <w:bottom w:w="100" w:type="dxa"/>
              <w:right w:w="100" w:type="dxa"/>
            </w:tcMar>
            <w:vAlign w:val="bottom"/>
          </w:tcPr>
          <w:p w14:paraId="7416F9B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7.58 ± 0.60</w:t>
            </w:r>
          </w:p>
        </w:tc>
        <w:tc>
          <w:tcPr>
            <w:tcW w:w="992" w:type="dxa"/>
            <w:tcBorders>
              <w:top w:val="nil"/>
              <w:left w:val="nil"/>
              <w:bottom w:val="nil"/>
              <w:right w:val="nil"/>
            </w:tcBorders>
            <w:tcMar>
              <w:top w:w="100" w:type="dxa"/>
              <w:left w:w="100" w:type="dxa"/>
              <w:bottom w:w="100" w:type="dxa"/>
              <w:right w:w="100" w:type="dxa"/>
            </w:tcMar>
          </w:tcPr>
          <w:p w14:paraId="307764E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0.1906</w:t>
            </w:r>
          </w:p>
        </w:tc>
        <w:tc>
          <w:tcPr>
            <w:tcW w:w="1560" w:type="dxa"/>
            <w:tcBorders>
              <w:top w:val="nil"/>
              <w:left w:val="nil"/>
              <w:bottom w:val="nil"/>
              <w:right w:val="nil"/>
            </w:tcBorders>
            <w:tcMar>
              <w:top w:w="100" w:type="dxa"/>
              <w:left w:w="100" w:type="dxa"/>
              <w:bottom w:w="100" w:type="dxa"/>
              <w:right w:w="100" w:type="dxa"/>
            </w:tcMar>
          </w:tcPr>
          <w:p w14:paraId="6F6605F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7.01 ± 3.42</w:t>
            </w:r>
          </w:p>
        </w:tc>
      </w:tr>
      <w:tr w:rsidR="00425E0F" w:rsidRPr="00443F82" w14:paraId="28650324"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B92C2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lastRenderedPageBreak/>
              <w:t xml:space="preserve">PSI Abnormal Illness </w:t>
            </w:r>
            <w:proofErr w:type="spellStart"/>
            <w:r w:rsidRPr="00443F82">
              <w:rPr>
                <w:rFonts w:ascii="Garamond" w:eastAsia="Times New Roman" w:hAnsi="Garamond" w:cs="Times New Roman"/>
                <w:color w:val="202020"/>
                <w:sz w:val="24"/>
                <w:szCs w:val="24"/>
              </w:rPr>
              <w:t>Behavior</w:t>
            </w:r>
            <w:proofErr w:type="spellEnd"/>
          </w:p>
        </w:tc>
        <w:tc>
          <w:tcPr>
            <w:tcW w:w="1417" w:type="dxa"/>
            <w:tcBorders>
              <w:top w:val="nil"/>
              <w:left w:val="nil"/>
              <w:bottom w:val="nil"/>
              <w:right w:val="nil"/>
            </w:tcBorders>
            <w:tcMar>
              <w:top w:w="100" w:type="dxa"/>
              <w:left w:w="100" w:type="dxa"/>
              <w:bottom w:w="100" w:type="dxa"/>
              <w:right w:w="100" w:type="dxa"/>
            </w:tcMar>
            <w:vAlign w:val="bottom"/>
          </w:tcPr>
          <w:p w14:paraId="584F6ED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0.31</w:t>
            </w:r>
          </w:p>
        </w:tc>
        <w:tc>
          <w:tcPr>
            <w:tcW w:w="1276" w:type="dxa"/>
            <w:tcBorders>
              <w:top w:val="nil"/>
              <w:left w:val="nil"/>
              <w:bottom w:val="nil"/>
              <w:right w:val="nil"/>
            </w:tcBorders>
            <w:tcMar>
              <w:top w:w="100" w:type="dxa"/>
              <w:left w:w="100" w:type="dxa"/>
              <w:bottom w:w="100" w:type="dxa"/>
              <w:right w:w="100" w:type="dxa"/>
            </w:tcMar>
            <w:vAlign w:val="bottom"/>
          </w:tcPr>
          <w:p w14:paraId="7A5B8BB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0.29</w:t>
            </w:r>
          </w:p>
        </w:tc>
        <w:tc>
          <w:tcPr>
            <w:tcW w:w="992" w:type="dxa"/>
            <w:tcBorders>
              <w:top w:val="nil"/>
              <w:left w:val="nil"/>
              <w:bottom w:val="nil"/>
              <w:right w:val="nil"/>
            </w:tcBorders>
            <w:tcMar>
              <w:top w:w="100" w:type="dxa"/>
              <w:left w:w="100" w:type="dxa"/>
              <w:bottom w:w="100" w:type="dxa"/>
              <w:right w:w="100" w:type="dxa"/>
            </w:tcMar>
          </w:tcPr>
          <w:p w14:paraId="250BB7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0.7362</w:t>
            </w:r>
          </w:p>
        </w:tc>
        <w:tc>
          <w:tcPr>
            <w:tcW w:w="1560" w:type="dxa"/>
            <w:tcBorders>
              <w:top w:val="nil"/>
              <w:left w:val="nil"/>
              <w:bottom w:val="nil"/>
              <w:right w:val="nil"/>
            </w:tcBorders>
            <w:tcMar>
              <w:top w:w="100" w:type="dxa"/>
              <w:left w:w="100" w:type="dxa"/>
              <w:bottom w:w="100" w:type="dxa"/>
              <w:right w:w="100" w:type="dxa"/>
            </w:tcMar>
          </w:tcPr>
          <w:p w14:paraId="4D78A52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15.6 ± 7.08</w:t>
            </w:r>
          </w:p>
        </w:tc>
      </w:tr>
      <w:tr w:rsidR="00425E0F" w:rsidRPr="00443F82" w14:paraId="0321999D"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6364F7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Avoidance</w:t>
            </w:r>
          </w:p>
        </w:tc>
        <w:tc>
          <w:tcPr>
            <w:tcW w:w="1417" w:type="dxa"/>
            <w:tcBorders>
              <w:top w:val="nil"/>
              <w:left w:val="nil"/>
              <w:bottom w:val="nil"/>
              <w:right w:val="nil"/>
            </w:tcBorders>
            <w:tcMar>
              <w:top w:w="100" w:type="dxa"/>
              <w:left w:w="100" w:type="dxa"/>
              <w:bottom w:w="100" w:type="dxa"/>
              <w:right w:w="100" w:type="dxa"/>
            </w:tcMar>
            <w:vAlign w:val="bottom"/>
          </w:tcPr>
          <w:p w14:paraId="2C93B52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1.24 ± 0.20</w:t>
            </w:r>
          </w:p>
        </w:tc>
        <w:tc>
          <w:tcPr>
            <w:tcW w:w="1276" w:type="dxa"/>
            <w:tcBorders>
              <w:top w:val="nil"/>
              <w:left w:val="nil"/>
              <w:bottom w:val="nil"/>
              <w:right w:val="nil"/>
            </w:tcBorders>
            <w:tcMar>
              <w:top w:w="100" w:type="dxa"/>
              <w:left w:w="100" w:type="dxa"/>
              <w:bottom w:w="100" w:type="dxa"/>
              <w:right w:w="100" w:type="dxa"/>
            </w:tcMar>
            <w:vAlign w:val="bottom"/>
          </w:tcPr>
          <w:p w14:paraId="3999EEC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0.28</w:t>
            </w:r>
          </w:p>
        </w:tc>
        <w:tc>
          <w:tcPr>
            <w:tcW w:w="992" w:type="dxa"/>
            <w:tcBorders>
              <w:top w:val="nil"/>
              <w:left w:val="nil"/>
              <w:bottom w:val="nil"/>
              <w:right w:val="nil"/>
            </w:tcBorders>
            <w:tcMar>
              <w:top w:w="100" w:type="dxa"/>
              <w:left w:w="100" w:type="dxa"/>
              <w:bottom w:w="100" w:type="dxa"/>
              <w:right w:w="100" w:type="dxa"/>
            </w:tcMar>
          </w:tcPr>
          <w:p w14:paraId="616A8FC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0.0818</w:t>
            </w:r>
          </w:p>
        </w:tc>
        <w:tc>
          <w:tcPr>
            <w:tcW w:w="1560" w:type="dxa"/>
            <w:tcBorders>
              <w:top w:val="nil"/>
              <w:left w:val="nil"/>
              <w:bottom w:val="nil"/>
              <w:right w:val="nil"/>
            </w:tcBorders>
            <w:tcMar>
              <w:top w:w="100" w:type="dxa"/>
              <w:left w:w="100" w:type="dxa"/>
              <w:bottom w:w="100" w:type="dxa"/>
              <w:right w:w="100" w:type="dxa"/>
            </w:tcMar>
          </w:tcPr>
          <w:p w14:paraId="5019A6D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 ± 1.44</w:t>
            </w:r>
          </w:p>
        </w:tc>
      </w:tr>
      <w:tr w:rsidR="00425E0F" w:rsidRPr="00443F82" w14:paraId="69D25C47"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B0ECE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Intrusiveness</w:t>
            </w:r>
          </w:p>
        </w:tc>
        <w:tc>
          <w:tcPr>
            <w:tcW w:w="1417" w:type="dxa"/>
            <w:tcBorders>
              <w:top w:val="nil"/>
              <w:left w:val="nil"/>
              <w:bottom w:val="nil"/>
              <w:right w:val="nil"/>
            </w:tcBorders>
            <w:tcMar>
              <w:top w:w="100" w:type="dxa"/>
              <w:left w:w="100" w:type="dxa"/>
              <w:bottom w:w="100" w:type="dxa"/>
              <w:right w:w="100" w:type="dxa"/>
            </w:tcMar>
            <w:vAlign w:val="bottom"/>
          </w:tcPr>
          <w:p w14:paraId="4224A74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0.21</w:t>
            </w:r>
          </w:p>
        </w:tc>
        <w:tc>
          <w:tcPr>
            <w:tcW w:w="1276" w:type="dxa"/>
            <w:tcBorders>
              <w:top w:val="nil"/>
              <w:left w:val="nil"/>
              <w:bottom w:val="nil"/>
              <w:right w:val="nil"/>
            </w:tcBorders>
            <w:tcMar>
              <w:top w:w="100" w:type="dxa"/>
              <w:left w:w="100" w:type="dxa"/>
              <w:bottom w:w="100" w:type="dxa"/>
              <w:right w:w="100" w:type="dxa"/>
            </w:tcMar>
            <w:vAlign w:val="bottom"/>
          </w:tcPr>
          <w:p w14:paraId="1332F99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2.26 ± 0.21</w:t>
            </w:r>
          </w:p>
        </w:tc>
        <w:tc>
          <w:tcPr>
            <w:tcW w:w="992" w:type="dxa"/>
            <w:tcBorders>
              <w:top w:val="nil"/>
              <w:left w:val="nil"/>
              <w:bottom w:val="nil"/>
              <w:right w:val="nil"/>
            </w:tcBorders>
            <w:tcMar>
              <w:top w:w="100" w:type="dxa"/>
              <w:left w:w="100" w:type="dxa"/>
              <w:bottom w:w="100" w:type="dxa"/>
              <w:right w:w="100" w:type="dxa"/>
            </w:tcMar>
          </w:tcPr>
          <w:p w14:paraId="259E97D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0.0806</w:t>
            </w:r>
          </w:p>
        </w:tc>
        <w:tc>
          <w:tcPr>
            <w:tcW w:w="1560" w:type="dxa"/>
            <w:tcBorders>
              <w:top w:val="nil"/>
              <w:left w:val="nil"/>
              <w:bottom w:val="nil"/>
              <w:right w:val="nil"/>
            </w:tcBorders>
            <w:tcMar>
              <w:top w:w="100" w:type="dxa"/>
              <w:left w:w="100" w:type="dxa"/>
              <w:bottom w:w="100" w:type="dxa"/>
              <w:right w:w="100" w:type="dxa"/>
            </w:tcMar>
          </w:tcPr>
          <w:p w14:paraId="5033AF2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2.00 ± 1.23</w:t>
            </w:r>
          </w:p>
        </w:tc>
      </w:tr>
      <w:tr w:rsidR="00425E0F" w:rsidRPr="00443F82" w14:paraId="2659D9A1"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62B011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IES-R </w:t>
            </w:r>
            <w:proofErr w:type="spellStart"/>
            <w:r w:rsidRPr="00443F82">
              <w:rPr>
                <w:rFonts w:ascii="Garamond" w:eastAsia="Times New Roman" w:hAnsi="Garamond" w:cs="Times New Roman"/>
                <w:color w:val="202020"/>
                <w:sz w:val="24"/>
                <w:szCs w:val="24"/>
              </w:rPr>
              <w:t>Iperarousal</w:t>
            </w:r>
            <w:proofErr w:type="spellEnd"/>
          </w:p>
        </w:tc>
        <w:tc>
          <w:tcPr>
            <w:tcW w:w="1417" w:type="dxa"/>
            <w:tcBorders>
              <w:top w:val="nil"/>
              <w:left w:val="nil"/>
              <w:bottom w:val="nil"/>
              <w:right w:val="nil"/>
            </w:tcBorders>
            <w:tcMar>
              <w:top w:w="100" w:type="dxa"/>
              <w:left w:w="100" w:type="dxa"/>
              <w:bottom w:w="100" w:type="dxa"/>
              <w:right w:w="100" w:type="dxa"/>
            </w:tcMar>
            <w:vAlign w:val="bottom"/>
          </w:tcPr>
          <w:p w14:paraId="7AD5750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1.46 ± 0.21</w:t>
            </w:r>
          </w:p>
        </w:tc>
        <w:tc>
          <w:tcPr>
            <w:tcW w:w="1276" w:type="dxa"/>
            <w:tcBorders>
              <w:top w:val="nil"/>
              <w:left w:val="nil"/>
              <w:bottom w:val="nil"/>
              <w:right w:val="nil"/>
            </w:tcBorders>
            <w:tcMar>
              <w:top w:w="100" w:type="dxa"/>
              <w:left w:w="100" w:type="dxa"/>
              <w:bottom w:w="100" w:type="dxa"/>
              <w:right w:w="100" w:type="dxa"/>
            </w:tcMar>
            <w:vAlign w:val="bottom"/>
          </w:tcPr>
          <w:p w14:paraId="69F80ED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2.35 ± 0.21</w:t>
            </w:r>
          </w:p>
        </w:tc>
        <w:tc>
          <w:tcPr>
            <w:tcW w:w="992" w:type="dxa"/>
            <w:tcBorders>
              <w:top w:val="nil"/>
              <w:left w:val="nil"/>
              <w:bottom w:val="nil"/>
              <w:right w:val="nil"/>
            </w:tcBorders>
            <w:tcMar>
              <w:top w:w="100" w:type="dxa"/>
              <w:left w:w="100" w:type="dxa"/>
              <w:bottom w:w="100" w:type="dxa"/>
              <w:right w:w="100" w:type="dxa"/>
            </w:tcMar>
          </w:tcPr>
          <w:p w14:paraId="6C5E6B6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0.0049</w:t>
            </w:r>
          </w:p>
        </w:tc>
        <w:tc>
          <w:tcPr>
            <w:tcW w:w="1560" w:type="dxa"/>
            <w:tcBorders>
              <w:top w:val="nil"/>
              <w:left w:val="nil"/>
              <w:bottom w:val="nil"/>
              <w:right w:val="nil"/>
            </w:tcBorders>
            <w:tcMar>
              <w:top w:w="100" w:type="dxa"/>
              <w:left w:w="100" w:type="dxa"/>
              <w:bottom w:w="100" w:type="dxa"/>
              <w:right w:w="100" w:type="dxa"/>
            </w:tcMar>
          </w:tcPr>
          <w:p w14:paraId="7D4A4C3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1.89 ± 1.24</w:t>
            </w:r>
          </w:p>
        </w:tc>
      </w:tr>
      <w:tr w:rsidR="00425E0F" w:rsidRPr="00443F82" w14:paraId="1D3FB8E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FFEC9A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IES-R</w:t>
            </w:r>
          </w:p>
        </w:tc>
        <w:tc>
          <w:tcPr>
            <w:tcW w:w="1417" w:type="dxa"/>
            <w:tcBorders>
              <w:top w:val="nil"/>
              <w:left w:val="nil"/>
              <w:bottom w:val="nil"/>
              <w:right w:val="nil"/>
            </w:tcBorders>
            <w:tcMar>
              <w:top w:w="100" w:type="dxa"/>
              <w:left w:w="100" w:type="dxa"/>
              <w:bottom w:w="100" w:type="dxa"/>
              <w:right w:w="100" w:type="dxa"/>
            </w:tcMar>
            <w:vAlign w:val="bottom"/>
          </w:tcPr>
          <w:p w14:paraId="4C8A250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  33.4 ± 4.46</w:t>
            </w:r>
          </w:p>
        </w:tc>
        <w:tc>
          <w:tcPr>
            <w:tcW w:w="1276" w:type="dxa"/>
            <w:tcBorders>
              <w:top w:val="nil"/>
              <w:left w:val="nil"/>
              <w:bottom w:val="nil"/>
              <w:right w:val="nil"/>
            </w:tcBorders>
            <w:tcMar>
              <w:top w:w="100" w:type="dxa"/>
              <w:left w:w="100" w:type="dxa"/>
              <w:bottom w:w="100" w:type="dxa"/>
              <w:right w:w="100" w:type="dxa"/>
            </w:tcMar>
            <w:vAlign w:val="bottom"/>
          </w:tcPr>
          <w:p w14:paraId="6ABAEA2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44.4 ± 3.47</w:t>
            </w:r>
          </w:p>
        </w:tc>
        <w:tc>
          <w:tcPr>
            <w:tcW w:w="992" w:type="dxa"/>
            <w:tcBorders>
              <w:top w:val="nil"/>
              <w:left w:val="nil"/>
              <w:bottom w:val="nil"/>
              <w:right w:val="nil"/>
            </w:tcBorders>
            <w:tcMar>
              <w:top w:w="100" w:type="dxa"/>
              <w:left w:w="100" w:type="dxa"/>
              <w:bottom w:w="100" w:type="dxa"/>
              <w:right w:w="100" w:type="dxa"/>
            </w:tcMar>
          </w:tcPr>
          <w:p w14:paraId="1FB518D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0.0563</w:t>
            </w:r>
          </w:p>
        </w:tc>
        <w:tc>
          <w:tcPr>
            <w:tcW w:w="1560" w:type="dxa"/>
            <w:tcBorders>
              <w:top w:val="nil"/>
              <w:left w:val="nil"/>
              <w:bottom w:val="nil"/>
              <w:right w:val="nil"/>
            </w:tcBorders>
            <w:tcMar>
              <w:top w:w="100" w:type="dxa"/>
              <w:left w:w="100" w:type="dxa"/>
              <w:bottom w:w="100" w:type="dxa"/>
              <w:right w:w="100" w:type="dxa"/>
            </w:tcMar>
          </w:tcPr>
          <w:p w14:paraId="01866E3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39.1 ± 22.2</w:t>
            </w:r>
          </w:p>
        </w:tc>
      </w:tr>
      <w:tr w:rsidR="00425E0F" w:rsidRPr="00443F82" w14:paraId="63CD559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0A47BB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CD-RISK</w:t>
            </w:r>
          </w:p>
        </w:tc>
        <w:tc>
          <w:tcPr>
            <w:tcW w:w="1417" w:type="dxa"/>
            <w:tcBorders>
              <w:top w:val="nil"/>
              <w:left w:val="nil"/>
              <w:bottom w:val="nil"/>
              <w:right w:val="nil"/>
            </w:tcBorders>
            <w:tcMar>
              <w:top w:w="100" w:type="dxa"/>
              <w:left w:w="100" w:type="dxa"/>
              <w:bottom w:w="100" w:type="dxa"/>
              <w:right w:w="100" w:type="dxa"/>
            </w:tcMar>
            <w:vAlign w:val="bottom"/>
          </w:tcPr>
          <w:p w14:paraId="312AD0A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75.2 ± 2.33</w:t>
            </w:r>
          </w:p>
        </w:tc>
        <w:tc>
          <w:tcPr>
            <w:tcW w:w="1276" w:type="dxa"/>
            <w:tcBorders>
              <w:top w:val="nil"/>
              <w:left w:val="nil"/>
              <w:bottom w:val="nil"/>
              <w:right w:val="nil"/>
            </w:tcBorders>
            <w:tcMar>
              <w:top w:w="100" w:type="dxa"/>
              <w:left w:w="100" w:type="dxa"/>
              <w:bottom w:w="100" w:type="dxa"/>
              <w:right w:w="100" w:type="dxa"/>
            </w:tcMar>
            <w:vAlign w:val="bottom"/>
          </w:tcPr>
          <w:p w14:paraId="52930BC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67.0 ± 2.98</w:t>
            </w:r>
          </w:p>
        </w:tc>
        <w:tc>
          <w:tcPr>
            <w:tcW w:w="992" w:type="dxa"/>
            <w:tcBorders>
              <w:top w:val="nil"/>
              <w:left w:val="nil"/>
              <w:bottom w:val="nil"/>
              <w:right w:val="nil"/>
            </w:tcBorders>
            <w:tcMar>
              <w:top w:w="100" w:type="dxa"/>
              <w:left w:w="100" w:type="dxa"/>
              <w:bottom w:w="100" w:type="dxa"/>
              <w:right w:w="100" w:type="dxa"/>
            </w:tcMar>
          </w:tcPr>
          <w:p w14:paraId="6E373AC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0.0346</w:t>
            </w:r>
          </w:p>
        </w:tc>
        <w:tc>
          <w:tcPr>
            <w:tcW w:w="1560" w:type="dxa"/>
            <w:tcBorders>
              <w:top w:val="nil"/>
              <w:left w:val="nil"/>
              <w:bottom w:val="nil"/>
              <w:right w:val="nil"/>
            </w:tcBorders>
            <w:tcMar>
              <w:top w:w="100" w:type="dxa"/>
              <w:left w:w="100" w:type="dxa"/>
              <w:bottom w:w="100" w:type="dxa"/>
              <w:right w:w="100" w:type="dxa"/>
            </w:tcMar>
          </w:tcPr>
          <w:p w14:paraId="57D6BA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71.0 ± 15.2</w:t>
            </w:r>
          </w:p>
        </w:tc>
      </w:tr>
      <w:tr w:rsidR="00425E0F" w:rsidRPr="00443F82" w14:paraId="3A983881"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759264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Depression</w:t>
            </w:r>
          </w:p>
        </w:tc>
        <w:tc>
          <w:tcPr>
            <w:tcW w:w="1417" w:type="dxa"/>
            <w:tcBorders>
              <w:top w:val="nil"/>
              <w:left w:val="nil"/>
              <w:bottom w:val="nil"/>
              <w:right w:val="nil"/>
            </w:tcBorders>
            <w:tcMar>
              <w:top w:w="100" w:type="dxa"/>
              <w:left w:w="100" w:type="dxa"/>
              <w:bottom w:w="100" w:type="dxa"/>
              <w:right w:w="100" w:type="dxa"/>
            </w:tcMar>
            <w:vAlign w:val="bottom"/>
          </w:tcPr>
          <w:p w14:paraId="121E098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 ± 1.05</w:t>
            </w:r>
          </w:p>
        </w:tc>
        <w:tc>
          <w:tcPr>
            <w:tcW w:w="1276" w:type="dxa"/>
            <w:tcBorders>
              <w:top w:val="nil"/>
              <w:left w:val="nil"/>
              <w:bottom w:val="nil"/>
              <w:right w:val="nil"/>
            </w:tcBorders>
            <w:tcMar>
              <w:top w:w="100" w:type="dxa"/>
              <w:left w:w="100" w:type="dxa"/>
              <w:bottom w:w="100" w:type="dxa"/>
              <w:right w:w="100" w:type="dxa"/>
            </w:tcMar>
            <w:vAlign w:val="bottom"/>
          </w:tcPr>
          <w:p w14:paraId="2561099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9.87 ± 0.87</w:t>
            </w:r>
          </w:p>
        </w:tc>
        <w:tc>
          <w:tcPr>
            <w:tcW w:w="992" w:type="dxa"/>
            <w:tcBorders>
              <w:top w:val="nil"/>
              <w:left w:val="nil"/>
              <w:bottom w:val="nil"/>
              <w:right w:val="nil"/>
            </w:tcBorders>
            <w:tcMar>
              <w:top w:w="100" w:type="dxa"/>
              <w:left w:w="100" w:type="dxa"/>
              <w:bottom w:w="100" w:type="dxa"/>
              <w:right w:w="100" w:type="dxa"/>
            </w:tcMar>
          </w:tcPr>
          <w:p w14:paraId="16B9B58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0.0453</w:t>
            </w:r>
          </w:p>
        </w:tc>
        <w:tc>
          <w:tcPr>
            <w:tcW w:w="1560" w:type="dxa"/>
            <w:tcBorders>
              <w:top w:val="nil"/>
              <w:left w:val="nil"/>
              <w:bottom w:val="nil"/>
              <w:right w:val="nil"/>
            </w:tcBorders>
            <w:tcMar>
              <w:top w:w="100" w:type="dxa"/>
              <w:left w:w="100" w:type="dxa"/>
              <w:bottom w:w="100" w:type="dxa"/>
              <w:right w:w="100" w:type="dxa"/>
            </w:tcMar>
          </w:tcPr>
          <w:p w14:paraId="6D74F2E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8.52 ± 5.41</w:t>
            </w:r>
          </w:p>
        </w:tc>
      </w:tr>
      <w:tr w:rsidR="00425E0F" w:rsidRPr="00443F82" w14:paraId="7C88B1C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7CBC6E9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Anxiety</w:t>
            </w:r>
          </w:p>
        </w:tc>
        <w:tc>
          <w:tcPr>
            <w:tcW w:w="1417" w:type="dxa"/>
            <w:tcBorders>
              <w:top w:val="nil"/>
              <w:left w:val="nil"/>
              <w:bottom w:val="nil"/>
              <w:right w:val="nil"/>
            </w:tcBorders>
            <w:tcMar>
              <w:top w:w="100" w:type="dxa"/>
              <w:left w:w="100" w:type="dxa"/>
              <w:bottom w:w="100" w:type="dxa"/>
              <w:right w:w="100" w:type="dxa"/>
            </w:tcMar>
            <w:vAlign w:val="bottom"/>
          </w:tcPr>
          <w:p w14:paraId="63EAE2B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7.72 ± 0.99</w:t>
            </w:r>
          </w:p>
        </w:tc>
        <w:tc>
          <w:tcPr>
            <w:tcW w:w="1276" w:type="dxa"/>
            <w:tcBorders>
              <w:top w:val="nil"/>
              <w:left w:val="nil"/>
              <w:bottom w:val="nil"/>
              <w:right w:val="nil"/>
            </w:tcBorders>
            <w:tcMar>
              <w:top w:w="100" w:type="dxa"/>
              <w:left w:w="100" w:type="dxa"/>
              <w:bottom w:w="100" w:type="dxa"/>
              <w:right w:w="100" w:type="dxa"/>
            </w:tcMar>
            <w:vAlign w:val="bottom"/>
          </w:tcPr>
          <w:p w14:paraId="4508036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10.3 ± 1.04</w:t>
            </w:r>
          </w:p>
        </w:tc>
        <w:tc>
          <w:tcPr>
            <w:tcW w:w="992" w:type="dxa"/>
            <w:tcBorders>
              <w:top w:val="nil"/>
              <w:left w:val="nil"/>
              <w:bottom w:val="nil"/>
              <w:right w:val="nil"/>
            </w:tcBorders>
            <w:tcMar>
              <w:top w:w="100" w:type="dxa"/>
              <w:left w:w="100" w:type="dxa"/>
              <w:bottom w:w="100" w:type="dxa"/>
              <w:right w:w="100" w:type="dxa"/>
            </w:tcMar>
          </w:tcPr>
          <w:p w14:paraId="5F779BD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0.0775</w:t>
            </w:r>
          </w:p>
        </w:tc>
        <w:tc>
          <w:tcPr>
            <w:tcW w:w="1560" w:type="dxa"/>
            <w:tcBorders>
              <w:top w:val="nil"/>
              <w:left w:val="nil"/>
              <w:bottom w:val="nil"/>
              <w:right w:val="nil"/>
            </w:tcBorders>
            <w:tcMar>
              <w:top w:w="100" w:type="dxa"/>
              <w:left w:w="100" w:type="dxa"/>
              <w:bottom w:w="100" w:type="dxa"/>
              <w:right w:w="100" w:type="dxa"/>
            </w:tcMar>
          </w:tcPr>
          <w:p w14:paraId="0AA1CED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9.06 ± 5.71</w:t>
            </w:r>
          </w:p>
        </w:tc>
      </w:tr>
      <w:tr w:rsidR="00425E0F" w:rsidRPr="00443F82" w14:paraId="5569567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318BE1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NEO-N</w:t>
            </w:r>
          </w:p>
        </w:tc>
        <w:tc>
          <w:tcPr>
            <w:tcW w:w="1417" w:type="dxa"/>
            <w:tcBorders>
              <w:top w:val="nil"/>
              <w:left w:val="nil"/>
              <w:bottom w:val="nil"/>
              <w:right w:val="nil"/>
            </w:tcBorders>
            <w:tcMar>
              <w:top w:w="100" w:type="dxa"/>
              <w:left w:w="100" w:type="dxa"/>
              <w:bottom w:w="100" w:type="dxa"/>
              <w:right w:w="100" w:type="dxa"/>
            </w:tcMar>
            <w:vAlign w:val="bottom"/>
          </w:tcPr>
          <w:p w14:paraId="074145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15.3 ± 1.57</w:t>
            </w:r>
          </w:p>
        </w:tc>
        <w:tc>
          <w:tcPr>
            <w:tcW w:w="1276" w:type="dxa"/>
            <w:tcBorders>
              <w:top w:val="nil"/>
              <w:left w:val="nil"/>
              <w:bottom w:val="nil"/>
              <w:right w:val="nil"/>
            </w:tcBorders>
            <w:tcMar>
              <w:top w:w="100" w:type="dxa"/>
              <w:left w:w="100" w:type="dxa"/>
              <w:bottom w:w="100" w:type="dxa"/>
              <w:right w:w="100" w:type="dxa"/>
            </w:tcMar>
            <w:vAlign w:val="bottom"/>
          </w:tcPr>
          <w:p w14:paraId="6E01309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24.7 ± 1.46</w:t>
            </w:r>
          </w:p>
        </w:tc>
        <w:tc>
          <w:tcPr>
            <w:tcW w:w="992" w:type="dxa"/>
            <w:tcBorders>
              <w:top w:val="nil"/>
              <w:left w:val="nil"/>
              <w:bottom w:val="nil"/>
              <w:right w:val="nil"/>
            </w:tcBorders>
            <w:tcMar>
              <w:top w:w="100" w:type="dxa"/>
              <w:left w:w="100" w:type="dxa"/>
              <w:bottom w:w="100" w:type="dxa"/>
              <w:right w:w="100" w:type="dxa"/>
            </w:tcMar>
          </w:tcPr>
          <w:p w14:paraId="3EB2336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&lt; 0.0001</w:t>
            </w:r>
          </w:p>
        </w:tc>
        <w:tc>
          <w:tcPr>
            <w:tcW w:w="1560" w:type="dxa"/>
            <w:tcBorders>
              <w:top w:val="nil"/>
              <w:left w:val="nil"/>
              <w:bottom w:val="nil"/>
              <w:right w:val="nil"/>
            </w:tcBorders>
            <w:tcMar>
              <w:top w:w="100" w:type="dxa"/>
              <w:left w:w="100" w:type="dxa"/>
              <w:bottom w:w="100" w:type="dxa"/>
              <w:right w:w="100" w:type="dxa"/>
            </w:tcMar>
          </w:tcPr>
          <w:p w14:paraId="5569C2F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20.1 ± 9.51</w:t>
            </w:r>
          </w:p>
        </w:tc>
      </w:tr>
      <w:tr w:rsidR="00425E0F" w:rsidRPr="00443F82" w14:paraId="3AE5F330"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5262FA7"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IPQ-R Chronic Acute Duration</w:t>
            </w:r>
          </w:p>
        </w:tc>
        <w:tc>
          <w:tcPr>
            <w:tcW w:w="1417" w:type="dxa"/>
            <w:tcBorders>
              <w:top w:val="nil"/>
              <w:left w:val="nil"/>
              <w:bottom w:val="nil"/>
              <w:right w:val="nil"/>
            </w:tcBorders>
            <w:tcMar>
              <w:top w:w="100" w:type="dxa"/>
              <w:left w:w="100" w:type="dxa"/>
              <w:bottom w:w="100" w:type="dxa"/>
              <w:right w:w="100" w:type="dxa"/>
            </w:tcMar>
            <w:vAlign w:val="bottom"/>
          </w:tcPr>
          <w:p w14:paraId="64FEE42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15.1 ± 1.12</w:t>
            </w:r>
          </w:p>
        </w:tc>
        <w:tc>
          <w:tcPr>
            <w:tcW w:w="1276" w:type="dxa"/>
            <w:tcBorders>
              <w:top w:val="nil"/>
              <w:left w:val="nil"/>
              <w:bottom w:val="nil"/>
              <w:right w:val="nil"/>
            </w:tcBorders>
            <w:tcMar>
              <w:top w:w="100" w:type="dxa"/>
              <w:left w:w="100" w:type="dxa"/>
              <w:bottom w:w="100" w:type="dxa"/>
              <w:right w:w="100" w:type="dxa"/>
            </w:tcMar>
            <w:vAlign w:val="bottom"/>
          </w:tcPr>
          <w:p w14:paraId="21834E6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16.5 ± 1.00</w:t>
            </w:r>
          </w:p>
        </w:tc>
        <w:tc>
          <w:tcPr>
            <w:tcW w:w="992" w:type="dxa"/>
            <w:tcBorders>
              <w:top w:val="nil"/>
              <w:left w:val="nil"/>
              <w:bottom w:val="nil"/>
              <w:right w:val="nil"/>
            </w:tcBorders>
            <w:tcMar>
              <w:top w:w="100" w:type="dxa"/>
              <w:left w:w="100" w:type="dxa"/>
              <w:bottom w:w="100" w:type="dxa"/>
              <w:right w:w="100" w:type="dxa"/>
            </w:tcMar>
          </w:tcPr>
          <w:p w14:paraId="4563EC5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0.3544</w:t>
            </w:r>
          </w:p>
        </w:tc>
        <w:tc>
          <w:tcPr>
            <w:tcW w:w="1560" w:type="dxa"/>
            <w:tcBorders>
              <w:top w:val="nil"/>
              <w:left w:val="nil"/>
              <w:bottom w:val="nil"/>
              <w:right w:val="nil"/>
            </w:tcBorders>
            <w:tcMar>
              <w:top w:w="100" w:type="dxa"/>
              <w:left w:w="100" w:type="dxa"/>
              <w:bottom w:w="100" w:type="dxa"/>
              <w:right w:w="100" w:type="dxa"/>
            </w:tcMar>
          </w:tcPr>
          <w:p w14:paraId="256F539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15.8 ± 5.83</w:t>
            </w:r>
          </w:p>
        </w:tc>
      </w:tr>
      <w:tr w:rsidR="00425E0F" w:rsidRPr="00443F82" w14:paraId="696B4AF8"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2AF488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Cyclic Duration</w:t>
            </w:r>
          </w:p>
        </w:tc>
        <w:tc>
          <w:tcPr>
            <w:tcW w:w="1417" w:type="dxa"/>
            <w:tcBorders>
              <w:top w:val="nil"/>
              <w:left w:val="nil"/>
              <w:bottom w:val="nil"/>
              <w:right w:val="nil"/>
            </w:tcBorders>
            <w:tcMar>
              <w:top w:w="100" w:type="dxa"/>
              <w:left w:w="100" w:type="dxa"/>
              <w:bottom w:w="100" w:type="dxa"/>
              <w:right w:w="100" w:type="dxa"/>
            </w:tcMar>
            <w:vAlign w:val="bottom"/>
          </w:tcPr>
          <w:p w14:paraId="397E904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10.7 ± 0.70</w:t>
            </w:r>
          </w:p>
        </w:tc>
        <w:tc>
          <w:tcPr>
            <w:tcW w:w="1276" w:type="dxa"/>
            <w:tcBorders>
              <w:top w:val="nil"/>
              <w:left w:val="nil"/>
              <w:bottom w:val="nil"/>
              <w:right w:val="nil"/>
            </w:tcBorders>
            <w:tcMar>
              <w:top w:w="100" w:type="dxa"/>
              <w:left w:w="100" w:type="dxa"/>
              <w:bottom w:w="100" w:type="dxa"/>
              <w:right w:w="100" w:type="dxa"/>
            </w:tcMar>
            <w:vAlign w:val="bottom"/>
          </w:tcPr>
          <w:p w14:paraId="4771CBD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11.0 ± 0.85</w:t>
            </w:r>
          </w:p>
        </w:tc>
        <w:tc>
          <w:tcPr>
            <w:tcW w:w="992" w:type="dxa"/>
            <w:tcBorders>
              <w:top w:val="nil"/>
              <w:left w:val="nil"/>
              <w:bottom w:val="nil"/>
              <w:right w:val="nil"/>
            </w:tcBorders>
            <w:tcMar>
              <w:top w:w="100" w:type="dxa"/>
              <w:left w:w="100" w:type="dxa"/>
              <w:bottom w:w="100" w:type="dxa"/>
              <w:right w:w="100" w:type="dxa"/>
            </w:tcMar>
          </w:tcPr>
          <w:p w14:paraId="73A594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0.8526</w:t>
            </w:r>
          </w:p>
        </w:tc>
        <w:tc>
          <w:tcPr>
            <w:tcW w:w="1560" w:type="dxa"/>
            <w:tcBorders>
              <w:top w:val="nil"/>
              <w:left w:val="nil"/>
              <w:bottom w:val="nil"/>
              <w:right w:val="nil"/>
            </w:tcBorders>
            <w:tcMar>
              <w:top w:w="100" w:type="dxa"/>
              <w:left w:w="100" w:type="dxa"/>
              <w:bottom w:w="100" w:type="dxa"/>
              <w:right w:w="100" w:type="dxa"/>
            </w:tcMar>
          </w:tcPr>
          <w:p w14:paraId="3243ADB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10.9 ± 4.29</w:t>
            </w:r>
          </w:p>
        </w:tc>
      </w:tr>
      <w:tr w:rsidR="00425E0F" w:rsidRPr="00443F82" w14:paraId="62B7818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4280CF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Consequences</w:t>
            </w:r>
          </w:p>
        </w:tc>
        <w:tc>
          <w:tcPr>
            <w:tcW w:w="1417" w:type="dxa"/>
            <w:tcBorders>
              <w:top w:val="nil"/>
              <w:left w:val="nil"/>
              <w:bottom w:val="nil"/>
              <w:right w:val="nil"/>
            </w:tcBorders>
            <w:tcMar>
              <w:top w:w="100" w:type="dxa"/>
              <w:left w:w="100" w:type="dxa"/>
              <w:bottom w:w="100" w:type="dxa"/>
              <w:right w:w="100" w:type="dxa"/>
            </w:tcMar>
            <w:vAlign w:val="bottom"/>
          </w:tcPr>
          <w:p w14:paraId="1F86701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15.6 ± 1.02</w:t>
            </w:r>
          </w:p>
        </w:tc>
        <w:tc>
          <w:tcPr>
            <w:tcW w:w="1276" w:type="dxa"/>
            <w:tcBorders>
              <w:top w:val="nil"/>
              <w:left w:val="nil"/>
              <w:bottom w:val="nil"/>
              <w:right w:val="nil"/>
            </w:tcBorders>
            <w:tcMar>
              <w:top w:w="100" w:type="dxa"/>
              <w:left w:w="100" w:type="dxa"/>
              <w:bottom w:w="100" w:type="dxa"/>
              <w:right w:w="100" w:type="dxa"/>
            </w:tcMar>
            <w:vAlign w:val="bottom"/>
          </w:tcPr>
          <w:p w14:paraId="0388099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17.7 ± 1.03</w:t>
            </w:r>
          </w:p>
        </w:tc>
        <w:tc>
          <w:tcPr>
            <w:tcW w:w="992" w:type="dxa"/>
            <w:tcBorders>
              <w:top w:val="nil"/>
              <w:left w:val="nil"/>
              <w:bottom w:val="nil"/>
              <w:right w:val="nil"/>
            </w:tcBorders>
            <w:tcMar>
              <w:top w:w="100" w:type="dxa"/>
              <w:left w:w="100" w:type="dxa"/>
              <w:bottom w:w="100" w:type="dxa"/>
              <w:right w:w="100" w:type="dxa"/>
            </w:tcMar>
          </w:tcPr>
          <w:p w14:paraId="14E3AAE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0.1494</w:t>
            </w:r>
          </w:p>
        </w:tc>
        <w:tc>
          <w:tcPr>
            <w:tcW w:w="1560" w:type="dxa"/>
            <w:tcBorders>
              <w:top w:val="nil"/>
              <w:left w:val="nil"/>
              <w:bottom w:val="nil"/>
              <w:right w:val="nil"/>
            </w:tcBorders>
            <w:tcMar>
              <w:top w:w="100" w:type="dxa"/>
              <w:left w:w="100" w:type="dxa"/>
              <w:bottom w:w="100" w:type="dxa"/>
              <w:right w:w="100" w:type="dxa"/>
            </w:tcMar>
          </w:tcPr>
          <w:p w14:paraId="7D207F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16.72 ± 5.68</w:t>
            </w:r>
          </w:p>
        </w:tc>
      </w:tr>
      <w:tr w:rsidR="00425E0F" w:rsidRPr="00443F82" w14:paraId="0271DD2D"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4F0BD2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Personal Control</w:t>
            </w:r>
          </w:p>
        </w:tc>
        <w:tc>
          <w:tcPr>
            <w:tcW w:w="1417" w:type="dxa"/>
            <w:tcBorders>
              <w:top w:val="nil"/>
              <w:left w:val="nil"/>
              <w:bottom w:val="nil"/>
              <w:right w:val="nil"/>
            </w:tcBorders>
            <w:tcMar>
              <w:top w:w="100" w:type="dxa"/>
              <w:left w:w="100" w:type="dxa"/>
              <w:bottom w:w="100" w:type="dxa"/>
              <w:right w:w="100" w:type="dxa"/>
            </w:tcMar>
            <w:vAlign w:val="bottom"/>
          </w:tcPr>
          <w:p w14:paraId="129497D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19.4 ± 0.77</w:t>
            </w:r>
          </w:p>
        </w:tc>
        <w:tc>
          <w:tcPr>
            <w:tcW w:w="1276" w:type="dxa"/>
            <w:tcBorders>
              <w:top w:val="nil"/>
              <w:left w:val="nil"/>
              <w:bottom w:val="nil"/>
              <w:right w:val="nil"/>
            </w:tcBorders>
            <w:tcMar>
              <w:top w:w="100" w:type="dxa"/>
              <w:left w:w="100" w:type="dxa"/>
              <w:bottom w:w="100" w:type="dxa"/>
              <w:right w:w="100" w:type="dxa"/>
            </w:tcMar>
            <w:vAlign w:val="bottom"/>
          </w:tcPr>
          <w:p w14:paraId="69911E4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19.01 ± 0.81</w:t>
            </w:r>
          </w:p>
        </w:tc>
        <w:tc>
          <w:tcPr>
            <w:tcW w:w="992" w:type="dxa"/>
            <w:tcBorders>
              <w:top w:val="nil"/>
              <w:left w:val="nil"/>
              <w:bottom w:val="nil"/>
              <w:right w:val="nil"/>
            </w:tcBorders>
            <w:tcMar>
              <w:top w:w="100" w:type="dxa"/>
              <w:left w:w="100" w:type="dxa"/>
              <w:bottom w:w="100" w:type="dxa"/>
              <w:right w:w="100" w:type="dxa"/>
            </w:tcMar>
          </w:tcPr>
          <w:p w14:paraId="7F43F64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0.7552</w:t>
            </w:r>
          </w:p>
        </w:tc>
        <w:tc>
          <w:tcPr>
            <w:tcW w:w="1560" w:type="dxa"/>
            <w:tcBorders>
              <w:top w:val="nil"/>
              <w:left w:val="nil"/>
              <w:bottom w:val="nil"/>
              <w:right w:val="nil"/>
            </w:tcBorders>
            <w:tcMar>
              <w:top w:w="100" w:type="dxa"/>
              <w:left w:w="100" w:type="dxa"/>
              <w:bottom w:w="100" w:type="dxa"/>
              <w:right w:w="100" w:type="dxa"/>
            </w:tcMar>
          </w:tcPr>
          <w:p w14:paraId="6D4B726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19.2 ± 4.32</w:t>
            </w:r>
          </w:p>
        </w:tc>
      </w:tr>
      <w:tr w:rsidR="00425E0F" w:rsidRPr="00443F82" w14:paraId="0AF9E0D8"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653EBA8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Treatment Control</w:t>
            </w:r>
          </w:p>
        </w:tc>
        <w:tc>
          <w:tcPr>
            <w:tcW w:w="1417" w:type="dxa"/>
            <w:tcBorders>
              <w:top w:val="nil"/>
              <w:left w:val="nil"/>
              <w:bottom w:val="nil"/>
              <w:right w:val="nil"/>
            </w:tcBorders>
            <w:tcMar>
              <w:top w:w="100" w:type="dxa"/>
              <w:left w:w="100" w:type="dxa"/>
              <w:bottom w:w="100" w:type="dxa"/>
              <w:right w:w="100" w:type="dxa"/>
            </w:tcMar>
            <w:vAlign w:val="bottom"/>
          </w:tcPr>
          <w:p w14:paraId="328682D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18.1 ± 0.74</w:t>
            </w:r>
          </w:p>
        </w:tc>
        <w:tc>
          <w:tcPr>
            <w:tcW w:w="1276" w:type="dxa"/>
            <w:tcBorders>
              <w:top w:val="nil"/>
              <w:left w:val="nil"/>
              <w:bottom w:val="nil"/>
              <w:right w:val="nil"/>
            </w:tcBorders>
            <w:tcMar>
              <w:top w:w="100" w:type="dxa"/>
              <w:left w:w="100" w:type="dxa"/>
              <w:bottom w:w="100" w:type="dxa"/>
              <w:right w:w="100" w:type="dxa"/>
            </w:tcMar>
            <w:vAlign w:val="bottom"/>
          </w:tcPr>
          <w:p w14:paraId="6D5672F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17.5 ± 0.77</w:t>
            </w:r>
          </w:p>
        </w:tc>
        <w:tc>
          <w:tcPr>
            <w:tcW w:w="992" w:type="dxa"/>
            <w:tcBorders>
              <w:top w:val="nil"/>
              <w:left w:val="nil"/>
              <w:bottom w:val="nil"/>
              <w:right w:val="nil"/>
            </w:tcBorders>
            <w:tcMar>
              <w:top w:w="100" w:type="dxa"/>
              <w:left w:w="100" w:type="dxa"/>
              <w:bottom w:w="100" w:type="dxa"/>
              <w:right w:w="100" w:type="dxa"/>
            </w:tcMar>
          </w:tcPr>
          <w:p w14:paraId="2885F1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0.5860</w:t>
            </w:r>
          </w:p>
        </w:tc>
        <w:tc>
          <w:tcPr>
            <w:tcW w:w="1560" w:type="dxa"/>
            <w:tcBorders>
              <w:top w:val="nil"/>
              <w:left w:val="nil"/>
              <w:bottom w:val="nil"/>
              <w:right w:val="nil"/>
            </w:tcBorders>
            <w:tcMar>
              <w:top w:w="100" w:type="dxa"/>
              <w:left w:w="100" w:type="dxa"/>
              <w:bottom w:w="100" w:type="dxa"/>
              <w:right w:w="100" w:type="dxa"/>
            </w:tcMar>
          </w:tcPr>
          <w:p w14:paraId="358358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17.8 ± 4.15</w:t>
            </w:r>
          </w:p>
        </w:tc>
      </w:tr>
      <w:tr w:rsidR="00425E0F" w:rsidRPr="00443F82" w14:paraId="2EA1EA74"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F33666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Disease Consistency</w:t>
            </w:r>
          </w:p>
        </w:tc>
        <w:tc>
          <w:tcPr>
            <w:tcW w:w="1417" w:type="dxa"/>
            <w:tcBorders>
              <w:top w:val="nil"/>
              <w:left w:val="nil"/>
              <w:bottom w:val="nil"/>
              <w:right w:val="nil"/>
            </w:tcBorders>
            <w:tcMar>
              <w:top w:w="100" w:type="dxa"/>
              <w:left w:w="100" w:type="dxa"/>
              <w:bottom w:w="100" w:type="dxa"/>
              <w:right w:w="100" w:type="dxa"/>
            </w:tcMar>
            <w:vAlign w:val="bottom"/>
          </w:tcPr>
          <w:p w14:paraId="61EC768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16.7 ± 0.69</w:t>
            </w:r>
          </w:p>
        </w:tc>
        <w:tc>
          <w:tcPr>
            <w:tcW w:w="1276" w:type="dxa"/>
            <w:tcBorders>
              <w:top w:val="nil"/>
              <w:left w:val="nil"/>
              <w:bottom w:val="nil"/>
              <w:right w:val="nil"/>
            </w:tcBorders>
            <w:tcMar>
              <w:top w:w="100" w:type="dxa"/>
              <w:left w:w="100" w:type="dxa"/>
              <w:bottom w:w="100" w:type="dxa"/>
              <w:right w:w="100" w:type="dxa"/>
            </w:tcMar>
            <w:vAlign w:val="bottom"/>
          </w:tcPr>
          <w:p w14:paraId="478AFAB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 ± 0.91</w:t>
            </w:r>
          </w:p>
        </w:tc>
        <w:tc>
          <w:tcPr>
            <w:tcW w:w="992" w:type="dxa"/>
            <w:tcBorders>
              <w:top w:val="nil"/>
              <w:left w:val="nil"/>
              <w:bottom w:val="nil"/>
              <w:right w:val="nil"/>
            </w:tcBorders>
            <w:tcMar>
              <w:top w:w="100" w:type="dxa"/>
              <w:left w:w="100" w:type="dxa"/>
              <w:bottom w:w="100" w:type="dxa"/>
              <w:right w:w="100" w:type="dxa"/>
            </w:tcMar>
          </w:tcPr>
          <w:p w14:paraId="39C1461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0.4120</w:t>
            </w:r>
          </w:p>
        </w:tc>
        <w:tc>
          <w:tcPr>
            <w:tcW w:w="1560" w:type="dxa"/>
            <w:tcBorders>
              <w:top w:val="nil"/>
              <w:left w:val="nil"/>
              <w:bottom w:val="nil"/>
              <w:right w:val="nil"/>
            </w:tcBorders>
            <w:tcMar>
              <w:top w:w="100" w:type="dxa"/>
              <w:left w:w="100" w:type="dxa"/>
              <w:bottom w:w="100" w:type="dxa"/>
              <w:right w:w="100" w:type="dxa"/>
            </w:tcMar>
          </w:tcPr>
          <w:p w14:paraId="46AB247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16.2 ± 4.48</w:t>
            </w:r>
          </w:p>
        </w:tc>
      </w:tr>
      <w:tr w:rsidR="00425E0F" w:rsidRPr="00443F82" w14:paraId="353AB68B" w14:textId="77777777" w:rsidTr="00425E0F">
        <w:trPr>
          <w:trHeight w:val="510"/>
        </w:trPr>
        <w:tc>
          <w:tcPr>
            <w:tcW w:w="2974" w:type="dxa"/>
            <w:tcBorders>
              <w:top w:val="nil"/>
              <w:left w:val="nil"/>
              <w:bottom w:val="single" w:sz="8" w:space="0" w:color="000000"/>
              <w:right w:val="nil"/>
            </w:tcBorders>
            <w:tcMar>
              <w:top w:w="100" w:type="dxa"/>
              <w:left w:w="100" w:type="dxa"/>
              <w:bottom w:w="100" w:type="dxa"/>
              <w:right w:w="100" w:type="dxa"/>
            </w:tcMar>
          </w:tcPr>
          <w:p w14:paraId="14AC311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lastRenderedPageBreak/>
              <w:t>IPQ-R Emotional Representation</w:t>
            </w:r>
          </w:p>
        </w:tc>
        <w:tc>
          <w:tcPr>
            <w:tcW w:w="1417" w:type="dxa"/>
            <w:tcBorders>
              <w:top w:val="nil"/>
              <w:left w:val="nil"/>
              <w:bottom w:val="single" w:sz="8" w:space="0" w:color="000000"/>
              <w:right w:val="nil"/>
            </w:tcBorders>
            <w:tcMar>
              <w:top w:w="100" w:type="dxa"/>
              <w:left w:w="100" w:type="dxa"/>
              <w:bottom w:w="100" w:type="dxa"/>
              <w:right w:w="100" w:type="dxa"/>
            </w:tcMar>
            <w:vAlign w:val="bottom"/>
          </w:tcPr>
          <w:p w14:paraId="2CE42E1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16.5 ± 1.11</w:t>
            </w:r>
          </w:p>
        </w:tc>
        <w:tc>
          <w:tcPr>
            <w:tcW w:w="1276" w:type="dxa"/>
            <w:tcBorders>
              <w:top w:val="nil"/>
              <w:left w:val="nil"/>
              <w:bottom w:val="single" w:sz="8" w:space="0" w:color="000000"/>
              <w:right w:val="nil"/>
            </w:tcBorders>
            <w:tcMar>
              <w:top w:w="100" w:type="dxa"/>
              <w:left w:w="100" w:type="dxa"/>
              <w:bottom w:w="100" w:type="dxa"/>
              <w:right w:w="100" w:type="dxa"/>
            </w:tcMar>
            <w:vAlign w:val="bottom"/>
          </w:tcPr>
          <w:p w14:paraId="48C960C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18.0 ± 1.02</w:t>
            </w:r>
          </w:p>
        </w:tc>
        <w:tc>
          <w:tcPr>
            <w:tcW w:w="992" w:type="dxa"/>
            <w:tcBorders>
              <w:top w:val="nil"/>
              <w:left w:val="nil"/>
              <w:bottom w:val="single" w:sz="8" w:space="0" w:color="000000"/>
              <w:right w:val="nil"/>
            </w:tcBorders>
            <w:tcMar>
              <w:top w:w="100" w:type="dxa"/>
              <w:left w:w="100" w:type="dxa"/>
              <w:bottom w:w="100" w:type="dxa"/>
              <w:right w:w="100" w:type="dxa"/>
            </w:tcMar>
          </w:tcPr>
          <w:p w14:paraId="7091A6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0.3375</w:t>
            </w:r>
          </w:p>
        </w:tc>
        <w:tc>
          <w:tcPr>
            <w:tcW w:w="1560" w:type="dxa"/>
            <w:tcBorders>
              <w:top w:val="nil"/>
              <w:left w:val="nil"/>
              <w:bottom w:val="single" w:sz="8" w:space="0" w:color="000000"/>
              <w:right w:val="nil"/>
            </w:tcBorders>
            <w:tcMar>
              <w:top w:w="100" w:type="dxa"/>
              <w:left w:w="100" w:type="dxa"/>
              <w:bottom w:w="100" w:type="dxa"/>
              <w:right w:w="100" w:type="dxa"/>
            </w:tcMar>
          </w:tcPr>
          <w:p w14:paraId="1EB2322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5.75</w:t>
            </w:r>
          </w:p>
        </w:tc>
      </w:tr>
      <w:tr w:rsidR="00425E0F" w:rsidRPr="00443F82" w14:paraId="636FF31C" w14:textId="77777777" w:rsidTr="00425E0F">
        <w:trPr>
          <w:trHeight w:val="1200"/>
        </w:trPr>
        <w:tc>
          <w:tcPr>
            <w:tcW w:w="8219" w:type="dxa"/>
            <w:gridSpan w:val="5"/>
            <w:tcBorders>
              <w:top w:val="nil"/>
              <w:left w:val="nil"/>
              <w:bottom w:val="single" w:sz="8" w:space="0" w:color="000000"/>
              <w:right w:val="nil"/>
            </w:tcBorders>
            <w:tcMar>
              <w:top w:w="100" w:type="dxa"/>
              <w:left w:w="100" w:type="dxa"/>
              <w:bottom w:w="100" w:type="dxa"/>
              <w:right w:w="100" w:type="dxa"/>
            </w:tcMar>
          </w:tcPr>
          <w:p w14:paraId="2879CB10"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PSI=Psychosocial Index; IES-R=Impact of Event Scale - Revised; CD-RISC=Connor-Davidson Resilience Scale; HADS=Hospital Anxiety Depression Scale; NEO-N=Neo Five Factor Inventory, Neuroticism Subscale; IPQ-R=Illness Perception Questionnaire-Revised.</w:t>
            </w:r>
          </w:p>
        </w:tc>
      </w:tr>
    </w:tbl>
    <w:p w14:paraId="7017EBF5" w14:textId="77777777" w:rsidR="00D50C4A" w:rsidRPr="00443F82" w:rsidRDefault="00D50C4A" w:rsidP="00443F82">
      <w:pPr>
        <w:spacing w:line="360" w:lineRule="auto"/>
        <w:jc w:val="both"/>
        <w:rPr>
          <w:rFonts w:ascii="Garamond" w:eastAsia="Times New Roman" w:hAnsi="Garamond" w:cs="Times New Roman"/>
          <w:color w:val="202020"/>
          <w:sz w:val="24"/>
          <w:szCs w:val="24"/>
          <w:lang w:val="en-US"/>
        </w:rPr>
      </w:pPr>
    </w:p>
    <w:p w14:paraId="2104603E" w14:textId="77777777" w:rsidR="00D50C4A" w:rsidRPr="00443F82" w:rsidRDefault="00D50C4A"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Next, our sample was divided </w:t>
      </w:r>
      <w:proofErr w:type="gramStart"/>
      <w:r w:rsidRPr="00443F82">
        <w:rPr>
          <w:rFonts w:ascii="Garamond" w:eastAsia="Times New Roman" w:hAnsi="Garamond" w:cs="Times New Roman"/>
          <w:color w:val="202020"/>
          <w:sz w:val="24"/>
          <w:szCs w:val="24"/>
          <w:lang w:val="en-US"/>
        </w:rPr>
        <w:t>taking into account</w:t>
      </w:r>
      <w:proofErr w:type="gramEnd"/>
      <w:r w:rsidRPr="00443F82">
        <w:rPr>
          <w:rFonts w:ascii="Garamond" w:eastAsia="Times New Roman" w:hAnsi="Garamond" w:cs="Times New Roman"/>
          <w:color w:val="202020"/>
          <w:sz w:val="24"/>
          <w:szCs w:val="24"/>
          <w:lang w:val="en-US"/>
        </w:rPr>
        <w:t xml:space="preserve"> marital status. Therefore, we have 42 participants with a partner and 18 single subjects. No significant differences emerged between the two groups (Table 3).</w:t>
      </w:r>
    </w:p>
    <w:p w14:paraId="17215D61" w14:textId="77777777" w:rsidR="00425E0F" w:rsidRPr="00443F82" w:rsidRDefault="00425E0F" w:rsidP="00443F82">
      <w:pPr>
        <w:tabs>
          <w:tab w:val="left" w:pos="749"/>
        </w:tabs>
        <w:spacing w:line="360" w:lineRule="auto"/>
        <w:rPr>
          <w:rFonts w:ascii="Garamond" w:hAnsi="Garamond"/>
          <w:b/>
          <w:bCs/>
          <w:sz w:val="24"/>
          <w:szCs w:val="24"/>
          <w:lang w:val="en-US"/>
        </w:rPr>
      </w:pPr>
    </w:p>
    <w:p w14:paraId="0465BA38"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b/>
          <w:bCs/>
          <w:color w:val="202020"/>
          <w:sz w:val="24"/>
          <w:szCs w:val="24"/>
          <w:lang w:val="en-US"/>
        </w:rPr>
        <w:t>Table 3.</w:t>
      </w:r>
      <w:r w:rsidRPr="00443F82">
        <w:rPr>
          <w:rFonts w:ascii="Garamond" w:eastAsia="Times New Roman" w:hAnsi="Garamond" w:cs="Times New Roman"/>
          <w:color w:val="202020"/>
          <w:sz w:val="24"/>
          <w:szCs w:val="24"/>
          <w:lang w:val="en-US"/>
        </w:rPr>
        <w:t xml:space="preserve"> Psychological and clinical characteristics in our sample considering marital status</w:t>
      </w:r>
    </w:p>
    <w:tbl>
      <w:tblPr>
        <w:tblW w:w="8080" w:type="dxa"/>
        <w:tblBorders>
          <w:top w:val="nil"/>
          <w:left w:val="nil"/>
          <w:bottom w:val="nil"/>
          <w:right w:val="nil"/>
          <w:insideH w:val="nil"/>
          <w:insideV w:val="nil"/>
        </w:tblBorders>
        <w:tblLayout w:type="fixed"/>
        <w:tblLook w:val="0600" w:firstRow="0" w:lastRow="0" w:firstColumn="0" w:lastColumn="0" w:noHBand="1" w:noVBand="1"/>
      </w:tblPr>
      <w:tblGrid>
        <w:gridCol w:w="3119"/>
        <w:gridCol w:w="2126"/>
        <w:gridCol w:w="142"/>
        <w:gridCol w:w="1701"/>
        <w:gridCol w:w="992"/>
      </w:tblGrid>
      <w:tr w:rsidR="00425E0F" w:rsidRPr="00443F82" w14:paraId="67A62991" w14:textId="77777777" w:rsidTr="006E4F88">
        <w:trPr>
          <w:trHeight w:val="825"/>
        </w:trPr>
        <w:tc>
          <w:tcPr>
            <w:tcW w:w="311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DA5A027"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 xml:space="preserve">Variable </w:t>
            </w:r>
          </w:p>
        </w:tc>
        <w:tc>
          <w:tcPr>
            <w:tcW w:w="2268"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5FDDFA4"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With a Partner n=42</w:t>
            </w:r>
          </w:p>
          <w:p w14:paraId="577990DC"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(M ± DS)</w:t>
            </w:r>
          </w:p>
        </w:tc>
        <w:tc>
          <w:tcPr>
            <w:tcW w:w="170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DB7328B"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Single n=18</w:t>
            </w:r>
          </w:p>
          <w:p w14:paraId="281AEA8B"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 xml:space="preserve"> (M ± DS)</w:t>
            </w:r>
          </w:p>
        </w:tc>
        <w:tc>
          <w:tcPr>
            <w:tcW w:w="992"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BA4ADA4" w14:textId="77777777" w:rsidR="00425E0F" w:rsidRPr="00443F82" w:rsidRDefault="00425E0F" w:rsidP="00443F82">
            <w:pPr>
              <w:spacing w:line="360" w:lineRule="auto"/>
              <w:rPr>
                <w:rFonts w:ascii="Garamond" w:eastAsia="Times New Roman" w:hAnsi="Garamond" w:cs="Times New Roman"/>
                <w:b/>
                <w:bCs/>
                <w:i/>
                <w:iCs/>
                <w:color w:val="202020"/>
                <w:sz w:val="24"/>
                <w:szCs w:val="24"/>
              </w:rPr>
            </w:pPr>
            <w:r w:rsidRPr="00443F82">
              <w:rPr>
                <w:rFonts w:ascii="Garamond" w:eastAsia="Times New Roman" w:hAnsi="Garamond" w:cs="Times New Roman"/>
                <w:b/>
                <w:bCs/>
                <w:i/>
                <w:iCs/>
                <w:color w:val="202020"/>
                <w:sz w:val="24"/>
                <w:szCs w:val="24"/>
              </w:rPr>
              <w:t>p</w:t>
            </w:r>
          </w:p>
        </w:tc>
      </w:tr>
      <w:tr w:rsidR="00425E0F" w:rsidRPr="00443F82" w14:paraId="13F11B16" w14:textId="77777777" w:rsidTr="006E4F88">
        <w:trPr>
          <w:trHeight w:val="510"/>
        </w:trPr>
        <w:tc>
          <w:tcPr>
            <w:tcW w:w="3119" w:type="dxa"/>
            <w:tcBorders>
              <w:top w:val="nil"/>
              <w:left w:val="nil"/>
              <w:bottom w:val="nil"/>
              <w:right w:val="nil"/>
            </w:tcBorders>
            <w:shd w:val="clear" w:color="auto" w:fill="auto"/>
            <w:tcMar>
              <w:top w:w="100" w:type="dxa"/>
              <w:left w:w="100" w:type="dxa"/>
              <w:bottom w:w="100" w:type="dxa"/>
              <w:right w:w="100" w:type="dxa"/>
            </w:tcMar>
          </w:tcPr>
          <w:p w14:paraId="6C959A5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Stress</w:t>
            </w:r>
          </w:p>
        </w:tc>
        <w:tc>
          <w:tcPr>
            <w:tcW w:w="2126" w:type="dxa"/>
            <w:tcBorders>
              <w:top w:val="nil"/>
              <w:left w:val="nil"/>
              <w:bottom w:val="nil"/>
              <w:right w:val="nil"/>
            </w:tcBorders>
            <w:shd w:val="clear" w:color="auto" w:fill="auto"/>
            <w:tcMar>
              <w:top w:w="100" w:type="dxa"/>
              <w:left w:w="100" w:type="dxa"/>
              <w:bottom w:w="100" w:type="dxa"/>
              <w:right w:w="100" w:type="dxa"/>
            </w:tcMar>
          </w:tcPr>
          <w:p w14:paraId="424E95F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 ± 0.36</w:t>
            </w:r>
          </w:p>
        </w:tc>
        <w:tc>
          <w:tcPr>
            <w:tcW w:w="1843" w:type="dxa"/>
            <w:gridSpan w:val="2"/>
            <w:tcBorders>
              <w:top w:val="nil"/>
              <w:left w:val="nil"/>
              <w:bottom w:val="nil"/>
              <w:right w:val="nil"/>
            </w:tcBorders>
            <w:shd w:val="clear" w:color="auto" w:fill="auto"/>
            <w:tcMar>
              <w:top w:w="100" w:type="dxa"/>
              <w:left w:w="100" w:type="dxa"/>
              <w:bottom w:w="100" w:type="dxa"/>
              <w:right w:w="100" w:type="dxa"/>
            </w:tcMar>
          </w:tcPr>
          <w:p w14:paraId="5BDC95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4.11 ± 0.65</w:t>
            </w:r>
          </w:p>
        </w:tc>
        <w:tc>
          <w:tcPr>
            <w:tcW w:w="992" w:type="dxa"/>
            <w:tcBorders>
              <w:top w:val="nil"/>
              <w:left w:val="nil"/>
              <w:bottom w:val="nil"/>
              <w:right w:val="nil"/>
            </w:tcBorders>
            <w:shd w:val="clear" w:color="auto" w:fill="auto"/>
            <w:tcMar>
              <w:top w:w="100" w:type="dxa"/>
              <w:left w:w="100" w:type="dxa"/>
              <w:bottom w:w="100" w:type="dxa"/>
              <w:right w:w="100" w:type="dxa"/>
            </w:tcMar>
          </w:tcPr>
          <w:p w14:paraId="3864F3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0.1861</w:t>
            </w:r>
          </w:p>
        </w:tc>
      </w:tr>
      <w:tr w:rsidR="00425E0F" w:rsidRPr="00443F82" w14:paraId="0CFCE25D"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23A8DD3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PSI </w:t>
            </w:r>
            <w:proofErr w:type="spellStart"/>
            <w:r w:rsidRPr="00443F82">
              <w:rPr>
                <w:rFonts w:ascii="Garamond" w:eastAsia="Times New Roman" w:hAnsi="Garamond" w:cs="Times New Roman"/>
                <w:color w:val="202020"/>
                <w:sz w:val="24"/>
                <w:szCs w:val="24"/>
              </w:rPr>
              <w:t>Benessere</w:t>
            </w:r>
            <w:proofErr w:type="spellEnd"/>
          </w:p>
        </w:tc>
        <w:tc>
          <w:tcPr>
            <w:tcW w:w="2126" w:type="dxa"/>
            <w:tcBorders>
              <w:top w:val="nil"/>
              <w:left w:val="nil"/>
              <w:bottom w:val="nil"/>
              <w:right w:val="nil"/>
            </w:tcBorders>
            <w:shd w:val="clear" w:color="auto" w:fill="auto"/>
            <w:tcMar>
              <w:top w:w="100" w:type="dxa"/>
              <w:left w:w="100" w:type="dxa"/>
              <w:bottom w:w="100" w:type="dxa"/>
              <w:right w:w="100" w:type="dxa"/>
            </w:tcMar>
          </w:tcPr>
          <w:p w14:paraId="203BE9C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4.26 ± 0.21</w:t>
            </w:r>
          </w:p>
        </w:tc>
        <w:tc>
          <w:tcPr>
            <w:tcW w:w="1843" w:type="dxa"/>
            <w:gridSpan w:val="2"/>
            <w:tcBorders>
              <w:top w:val="nil"/>
              <w:left w:val="nil"/>
              <w:bottom w:val="nil"/>
              <w:right w:val="nil"/>
            </w:tcBorders>
            <w:shd w:val="clear" w:color="auto" w:fill="auto"/>
            <w:tcMar>
              <w:top w:w="100" w:type="dxa"/>
              <w:left w:w="100" w:type="dxa"/>
              <w:bottom w:w="100" w:type="dxa"/>
              <w:right w:w="100" w:type="dxa"/>
            </w:tcMar>
          </w:tcPr>
          <w:p w14:paraId="3584BD8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3.61 ± 0.34</w:t>
            </w:r>
          </w:p>
        </w:tc>
        <w:tc>
          <w:tcPr>
            <w:tcW w:w="992" w:type="dxa"/>
            <w:tcBorders>
              <w:top w:val="nil"/>
              <w:left w:val="nil"/>
              <w:bottom w:val="nil"/>
              <w:right w:val="nil"/>
            </w:tcBorders>
            <w:shd w:val="clear" w:color="auto" w:fill="auto"/>
            <w:tcMar>
              <w:top w:w="100" w:type="dxa"/>
              <w:left w:w="100" w:type="dxa"/>
              <w:bottom w:w="100" w:type="dxa"/>
              <w:right w:w="100" w:type="dxa"/>
            </w:tcMar>
          </w:tcPr>
          <w:p w14:paraId="4068BBE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0.1161</w:t>
            </w:r>
          </w:p>
        </w:tc>
      </w:tr>
      <w:tr w:rsidR="00425E0F" w:rsidRPr="00443F82" w14:paraId="5B6EBEED"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84B6A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A60906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21.98 ± 1.38</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1590371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23.61 ± 2.62</w:t>
            </w:r>
          </w:p>
        </w:tc>
        <w:tc>
          <w:tcPr>
            <w:tcW w:w="992" w:type="dxa"/>
            <w:tcBorders>
              <w:top w:val="nil"/>
              <w:left w:val="nil"/>
              <w:bottom w:val="nil"/>
              <w:right w:val="nil"/>
            </w:tcBorders>
            <w:shd w:val="clear" w:color="auto" w:fill="auto"/>
            <w:tcMar>
              <w:top w:w="100" w:type="dxa"/>
              <w:left w:w="100" w:type="dxa"/>
              <w:bottom w:w="100" w:type="dxa"/>
              <w:right w:w="100" w:type="dxa"/>
            </w:tcMar>
          </w:tcPr>
          <w:p w14:paraId="589EB4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0.5867</w:t>
            </w:r>
          </w:p>
        </w:tc>
      </w:tr>
      <w:tr w:rsidR="00425E0F" w:rsidRPr="00443F82" w14:paraId="56E13CA1"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429F604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 Sleep Disorders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773CE63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 ± 0.5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657EFA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7.11 ± 0.91</w:t>
            </w:r>
          </w:p>
        </w:tc>
        <w:tc>
          <w:tcPr>
            <w:tcW w:w="992" w:type="dxa"/>
            <w:tcBorders>
              <w:top w:val="nil"/>
              <w:left w:val="nil"/>
              <w:bottom w:val="nil"/>
              <w:right w:val="nil"/>
            </w:tcBorders>
            <w:shd w:val="clear" w:color="auto" w:fill="auto"/>
            <w:tcMar>
              <w:top w:w="100" w:type="dxa"/>
              <w:left w:w="100" w:type="dxa"/>
              <w:bottom w:w="100" w:type="dxa"/>
              <w:right w:w="100" w:type="dxa"/>
            </w:tcMar>
          </w:tcPr>
          <w:p w14:paraId="2692555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0.9712</w:t>
            </w:r>
          </w:p>
        </w:tc>
      </w:tr>
      <w:tr w:rsidR="00425E0F" w:rsidRPr="00443F82" w14:paraId="73ECC079"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19DFCBA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PSI Abnormal Illness </w:t>
            </w:r>
            <w:proofErr w:type="spellStart"/>
            <w:r w:rsidRPr="00443F82">
              <w:rPr>
                <w:rFonts w:ascii="Garamond" w:eastAsia="Times New Roman" w:hAnsi="Garamond" w:cs="Times New Roman"/>
                <w:color w:val="202020"/>
                <w:sz w:val="24"/>
                <w:szCs w:val="24"/>
              </w:rPr>
              <w:t>Behavior</w:t>
            </w:r>
            <w:proofErr w:type="spellEnd"/>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9946D0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1.82 ± 0.26</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0E26A71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1.83 ± 0.39</w:t>
            </w:r>
          </w:p>
        </w:tc>
        <w:tc>
          <w:tcPr>
            <w:tcW w:w="992" w:type="dxa"/>
            <w:tcBorders>
              <w:top w:val="nil"/>
              <w:left w:val="nil"/>
              <w:bottom w:val="nil"/>
              <w:right w:val="nil"/>
            </w:tcBorders>
            <w:shd w:val="clear" w:color="auto" w:fill="auto"/>
            <w:tcMar>
              <w:top w:w="100" w:type="dxa"/>
              <w:left w:w="100" w:type="dxa"/>
              <w:bottom w:w="100" w:type="dxa"/>
              <w:right w:w="100" w:type="dxa"/>
            </w:tcMar>
          </w:tcPr>
          <w:p w14:paraId="7BE3F9A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0.9932</w:t>
            </w:r>
          </w:p>
        </w:tc>
      </w:tr>
      <w:tr w:rsidR="00425E0F" w:rsidRPr="00443F82" w14:paraId="2943C06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A0CF4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Avoidance</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203CB13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1.47 ± 0.16</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368077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0.47</w:t>
            </w:r>
          </w:p>
        </w:tc>
        <w:tc>
          <w:tcPr>
            <w:tcW w:w="992" w:type="dxa"/>
            <w:tcBorders>
              <w:top w:val="nil"/>
              <w:left w:val="nil"/>
              <w:bottom w:val="nil"/>
              <w:right w:val="nil"/>
            </w:tcBorders>
            <w:shd w:val="clear" w:color="auto" w:fill="auto"/>
            <w:tcMar>
              <w:top w:w="100" w:type="dxa"/>
              <w:left w:w="100" w:type="dxa"/>
              <w:bottom w:w="100" w:type="dxa"/>
              <w:right w:w="100" w:type="dxa"/>
            </w:tcMar>
          </w:tcPr>
          <w:p w14:paraId="58F4253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0.4438</w:t>
            </w:r>
          </w:p>
        </w:tc>
      </w:tr>
      <w:tr w:rsidR="00425E0F" w:rsidRPr="00443F82" w14:paraId="3277B8B1"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27386B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Intrusiveness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A908A3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1.92 ± 0.17</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613E94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2.16 ± 0.33</w:t>
            </w:r>
          </w:p>
        </w:tc>
        <w:tc>
          <w:tcPr>
            <w:tcW w:w="992" w:type="dxa"/>
            <w:tcBorders>
              <w:top w:val="nil"/>
              <w:left w:val="nil"/>
              <w:bottom w:val="nil"/>
              <w:right w:val="nil"/>
            </w:tcBorders>
            <w:shd w:val="clear" w:color="auto" w:fill="auto"/>
            <w:tcMar>
              <w:top w:w="100" w:type="dxa"/>
              <w:left w:w="100" w:type="dxa"/>
              <w:bottom w:w="100" w:type="dxa"/>
              <w:right w:w="100" w:type="dxa"/>
            </w:tcMar>
          </w:tcPr>
          <w:p w14:paraId="54EA10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0.5359</w:t>
            </w:r>
          </w:p>
        </w:tc>
      </w:tr>
      <w:tr w:rsidR="00425E0F" w:rsidRPr="00443F82" w14:paraId="14C3B38B"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35F5279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IES-R </w:t>
            </w:r>
            <w:proofErr w:type="spellStart"/>
            <w:r w:rsidRPr="00443F82">
              <w:rPr>
                <w:rFonts w:ascii="Garamond" w:eastAsia="Times New Roman" w:hAnsi="Garamond" w:cs="Times New Roman"/>
                <w:color w:val="202020"/>
                <w:sz w:val="24"/>
                <w:szCs w:val="24"/>
              </w:rPr>
              <w:t>Iperarousal</w:t>
            </w:r>
            <w:proofErr w:type="spellEnd"/>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18FC4B5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1.84 ± 0.17</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21E2CB4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2.17 ± 0.36</w:t>
            </w:r>
          </w:p>
        </w:tc>
        <w:tc>
          <w:tcPr>
            <w:tcW w:w="992" w:type="dxa"/>
            <w:tcBorders>
              <w:top w:val="nil"/>
              <w:left w:val="nil"/>
              <w:bottom w:val="nil"/>
              <w:right w:val="nil"/>
            </w:tcBorders>
            <w:shd w:val="clear" w:color="auto" w:fill="auto"/>
            <w:tcMar>
              <w:top w:w="100" w:type="dxa"/>
              <w:left w:w="100" w:type="dxa"/>
              <w:bottom w:w="100" w:type="dxa"/>
              <w:right w:w="100" w:type="dxa"/>
            </w:tcMar>
          </w:tcPr>
          <w:p w14:paraId="149E377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0.43</w:t>
            </w:r>
          </w:p>
        </w:tc>
      </w:tr>
      <w:tr w:rsidR="00425E0F" w:rsidRPr="00443F82" w14:paraId="33FC9957"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32CB9C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lastRenderedPageBreak/>
              <w:t>TOT IES-R</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482CE1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39.41 ± 3.55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CD89C5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39.11 ± 5.24</w:t>
            </w:r>
          </w:p>
        </w:tc>
        <w:tc>
          <w:tcPr>
            <w:tcW w:w="992" w:type="dxa"/>
            <w:tcBorders>
              <w:top w:val="nil"/>
              <w:left w:val="nil"/>
              <w:bottom w:val="nil"/>
              <w:right w:val="nil"/>
            </w:tcBorders>
            <w:shd w:val="clear" w:color="auto" w:fill="auto"/>
            <w:tcMar>
              <w:top w:w="100" w:type="dxa"/>
              <w:left w:w="100" w:type="dxa"/>
              <w:bottom w:w="100" w:type="dxa"/>
              <w:right w:w="100" w:type="dxa"/>
            </w:tcMar>
          </w:tcPr>
          <w:p w14:paraId="1CF311B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0.9621</w:t>
            </w:r>
          </w:p>
        </w:tc>
      </w:tr>
      <w:tr w:rsidR="00425E0F" w:rsidRPr="00443F82" w14:paraId="0751E6B0"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C9366F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CD-RISK</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DE2BD3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70.68 ± 2.13</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3E81E7E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70.67 ± 4.35</w:t>
            </w:r>
          </w:p>
        </w:tc>
        <w:tc>
          <w:tcPr>
            <w:tcW w:w="992" w:type="dxa"/>
            <w:tcBorders>
              <w:top w:val="nil"/>
              <w:left w:val="nil"/>
              <w:bottom w:val="nil"/>
              <w:right w:val="nil"/>
            </w:tcBorders>
            <w:shd w:val="clear" w:color="auto" w:fill="auto"/>
            <w:tcMar>
              <w:top w:w="100" w:type="dxa"/>
              <w:left w:w="100" w:type="dxa"/>
              <w:bottom w:w="100" w:type="dxa"/>
              <w:right w:w="100" w:type="dxa"/>
            </w:tcMar>
          </w:tcPr>
          <w:p w14:paraId="18AB867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0.9974</w:t>
            </w:r>
          </w:p>
        </w:tc>
      </w:tr>
      <w:tr w:rsidR="00425E0F" w:rsidRPr="00443F82" w14:paraId="0C52D06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C0B998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Depression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140E5EC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8.36 ± 0.85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06561CA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9.33 ± 1.21</w:t>
            </w:r>
          </w:p>
        </w:tc>
        <w:tc>
          <w:tcPr>
            <w:tcW w:w="992" w:type="dxa"/>
            <w:tcBorders>
              <w:top w:val="nil"/>
              <w:left w:val="nil"/>
              <w:bottom w:val="nil"/>
              <w:right w:val="nil"/>
            </w:tcBorders>
            <w:shd w:val="clear" w:color="auto" w:fill="auto"/>
            <w:tcMar>
              <w:top w:w="100" w:type="dxa"/>
              <w:left w:w="100" w:type="dxa"/>
              <w:bottom w:w="100" w:type="dxa"/>
              <w:right w:w="100" w:type="dxa"/>
            </w:tcMar>
          </w:tcPr>
          <w:p w14:paraId="30962D4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0.5193</w:t>
            </w:r>
          </w:p>
        </w:tc>
      </w:tr>
      <w:tr w:rsidR="00425E0F" w:rsidRPr="00443F82" w14:paraId="0699E484"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0111B2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Anxiety</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0B4BF2C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9.36 ± 0.84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BAC77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8.77 ± 1.51</w:t>
            </w:r>
          </w:p>
        </w:tc>
        <w:tc>
          <w:tcPr>
            <w:tcW w:w="992" w:type="dxa"/>
            <w:tcBorders>
              <w:top w:val="nil"/>
              <w:left w:val="nil"/>
              <w:bottom w:val="nil"/>
              <w:right w:val="nil"/>
            </w:tcBorders>
            <w:shd w:val="clear" w:color="auto" w:fill="auto"/>
            <w:tcMar>
              <w:top w:w="100" w:type="dxa"/>
              <w:left w:w="100" w:type="dxa"/>
              <w:bottom w:w="100" w:type="dxa"/>
              <w:right w:w="100" w:type="dxa"/>
            </w:tcMar>
          </w:tcPr>
          <w:p w14:paraId="2261377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0.7379</w:t>
            </w:r>
          </w:p>
        </w:tc>
      </w:tr>
      <w:tr w:rsidR="00425E0F" w:rsidRPr="00443F82" w14:paraId="14537AB2"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8E0615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NEO</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30301B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19.61 ± 1.41</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1565FC1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22.61 ± 2.2</w:t>
            </w:r>
          </w:p>
        </w:tc>
        <w:tc>
          <w:tcPr>
            <w:tcW w:w="992" w:type="dxa"/>
            <w:tcBorders>
              <w:top w:val="nil"/>
              <w:left w:val="nil"/>
              <w:bottom w:val="nil"/>
              <w:right w:val="nil"/>
            </w:tcBorders>
            <w:shd w:val="clear" w:color="auto" w:fill="auto"/>
            <w:tcMar>
              <w:top w:w="100" w:type="dxa"/>
              <w:left w:w="100" w:type="dxa"/>
              <w:bottom w:w="100" w:type="dxa"/>
              <w:right w:w="100" w:type="dxa"/>
            </w:tcMar>
          </w:tcPr>
          <w:p w14:paraId="0485993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0.2614</w:t>
            </w:r>
          </w:p>
        </w:tc>
      </w:tr>
      <w:tr w:rsidR="00425E0F" w:rsidRPr="00443F82" w14:paraId="373F32E2"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196BC7A"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IPQ-R Chronic Acute Duration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EC98EE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15.8 ± 0.95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457C140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16.17 ± 1.24</w:t>
            </w:r>
          </w:p>
        </w:tc>
        <w:tc>
          <w:tcPr>
            <w:tcW w:w="992" w:type="dxa"/>
            <w:tcBorders>
              <w:top w:val="nil"/>
              <w:left w:val="nil"/>
              <w:bottom w:val="nil"/>
              <w:right w:val="nil"/>
            </w:tcBorders>
            <w:shd w:val="clear" w:color="auto" w:fill="auto"/>
            <w:tcMar>
              <w:top w:w="100" w:type="dxa"/>
              <w:left w:w="100" w:type="dxa"/>
              <w:bottom w:w="100" w:type="dxa"/>
              <w:right w:w="100" w:type="dxa"/>
            </w:tcMar>
          </w:tcPr>
          <w:p w14:paraId="441A125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0.819</w:t>
            </w:r>
          </w:p>
        </w:tc>
      </w:tr>
      <w:tr w:rsidR="00425E0F" w:rsidRPr="00443F82" w14:paraId="6495AA0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0E8FCB5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Cyclic Duration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D77934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10.59 ± 0.68</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2F59F51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11.89 ± 0.23</w:t>
            </w:r>
          </w:p>
        </w:tc>
        <w:tc>
          <w:tcPr>
            <w:tcW w:w="992" w:type="dxa"/>
            <w:tcBorders>
              <w:top w:val="nil"/>
              <w:left w:val="nil"/>
              <w:bottom w:val="nil"/>
              <w:right w:val="nil"/>
            </w:tcBorders>
            <w:shd w:val="clear" w:color="auto" w:fill="auto"/>
            <w:tcMar>
              <w:top w:w="100" w:type="dxa"/>
              <w:left w:w="100" w:type="dxa"/>
              <w:bottom w:w="100" w:type="dxa"/>
              <w:right w:w="100" w:type="dxa"/>
            </w:tcMar>
          </w:tcPr>
          <w:p w14:paraId="291D501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0.2677</w:t>
            </w:r>
          </w:p>
        </w:tc>
      </w:tr>
      <w:tr w:rsidR="00425E0F" w:rsidRPr="00443F82" w14:paraId="3E5687DA"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A82F5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Consequences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B2E3A2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16.9 ± 0.92</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779166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16.89 ± 1.14</w:t>
            </w:r>
          </w:p>
        </w:tc>
        <w:tc>
          <w:tcPr>
            <w:tcW w:w="992" w:type="dxa"/>
            <w:tcBorders>
              <w:top w:val="nil"/>
              <w:left w:val="nil"/>
              <w:bottom w:val="nil"/>
              <w:right w:val="nil"/>
            </w:tcBorders>
            <w:shd w:val="clear" w:color="auto" w:fill="auto"/>
            <w:tcMar>
              <w:top w:w="100" w:type="dxa"/>
              <w:left w:w="100" w:type="dxa"/>
              <w:bottom w:w="100" w:type="dxa"/>
              <w:right w:w="100" w:type="dxa"/>
            </w:tcMar>
          </w:tcPr>
          <w:p w14:paraId="7B5D1E0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0.9927</w:t>
            </w:r>
          </w:p>
        </w:tc>
      </w:tr>
      <w:tr w:rsidR="00425E0F" w:rsidRPr="00443F82" w14:paraId="7F90E30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18A699C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Personal Control</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4A662A2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19.46 ± 0.62</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4C6B0EB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18.94 ± 1.2</w:t>
            </w:r>
          </w:p>
        </w:tc>
        <w:tc>
          <w:tcPr>
            <w:tcW w:w="992" w:type="dxa"/>
            <w:tcBorders>
              <w:top w:val="nil"/>
              <w:left w:val="nil"/>
              <w:bottom w:val="nil"/>
              <w:right w:val="nil"/>
            </w:tcBorders>
            <w:shd w:val="clear" w:color="auto" w:fill="auto"/>
            <w:tcMar>
              <w:top w:w="100" w:type="dxa"/>
              <w:left w:w="100" w:type="dxa"/>
              <w:bottom w:w="100" w:type="dxa"/>
              <w:right w:w="100" w:type="dxa"/>
            </w:tcMar>
          </w:tcPr>
          <w:p w14:paraId="4220CE2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w:t>
            </w:r>
          </w:p>
        </w:tc>
      </w:tr>
      <w:tr w:rsidR="00425E0F" w:rsidRPr="00443F82" w14:paraId="78FF40C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461E32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Treatment Control</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A54FD3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18.15 ± 0.64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982953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 ± 1</w:t>
            </w:r>
          </w:p>
        </w:tc>
        <w:tc>
          <w:tcPr>
            <w:tcW w:w="992" w:type="dxa"/>
            <w:tcBorders>
              <w:top w:val="nil"/>
              <w:left w:val="nil"/>
              <w:bottom w:val="nil"/>
              <w:right w:val="nil"/>
            </w:tcBorders>
            <w:shd w:val="clear" w:color="auto" w:fill="auto"/>
            <w:tcMar>
              <w:top w:w="100" w:type="dxa"/>
              <w:left w:w="100" w:type="dxa"/>
              <w:bottom w:w="100" w:type="dxa"/>
              <w:right w:w="100" w:type="dxa"/>
            </w:tcMar>
          </w:tcPr>
          <w:p w14:paraId="01A383A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0.3715</w:t>
            </w:r>
          </w:p>
        </w:tc>
      </w:tr>
      <w:tr w:rsidR="00425E0F" w:rsidRPr="00443F82" w14:paraId="0833980C"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3646C8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Disease Consistency</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EA46DC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16.41 ± 0.74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35154DE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15.72 ± 0.93</w:t>
            </w:r>
          </w:p>
        </w:tc>
        <w:tc>
          <w:tcPr>
            <w:tcW w:w="992" w:type="dxa"/>
            <w:tcBorders>
              <w:top w:val="nil"/>
              <w:left w:val="nil"/>
              <w:bottom w:val="nil"/>
              <w:right w:val="nil"/>
            </w:tcBorders>
            <w:shd w:val="clear" w:color="auto" w:fill="auto"/>
            <w:tcMar>
              <w:top w:w="100" w:type="dxa"/>
              <w:left w:w="100" w:type="dxa"/>
              <w:bottom w:w="100" w:type="dxa"/>
              <w:right w:w="100" w:type="dxa"/>
            </w:tcMar>
          </w:tcPr>
          <w:p w14:paraId="0D5B72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0.5657</w:t>
            </w:r>
          </w:p>
        </w:tc>
      </w:tr>
      <w:tr w:rsidR="00425E0F" w:rsidRPr="00443F82" w14:paraId="26693D99" w14:textId="77777777" w:rsidTr="006E4F88">
        <w:trPr>
          <w:trHeight w:val="510"/>
        </w:trPr>
        <w:tc>
          <w:tcPr>
            <w:tcW w:w="3119" w:type="dxa"/>
            <w:tcBorders>
              <w:top w:val="nil"/>
              <w:left w:val="nil"/>
              <w:bottom w:val="single" w:sz="8" w:space="0" w:color="000000"/>
              <w:right w:val="nil"/>
            </w:tcBorders>
            <w:shd w:val="clear" w:color="auto" w:fill="auto"/>
            <w:tcMar>
              <w:top w:w="100" w:type="dxa"/>
              <w:left w:w="100" w:type="dxa"/>
              <w:bottom w:w="100" w:type="dxa"/>
              <w:right w:w="100" w:type="dxa"/>
            </w:tcMar>
          </w:tcPr>
          <w:p w14:paraId="3E5CBBB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Emotional Representation</w:t>
            </w:r>
          </w:p>
        </w:tc>
        <w:tc>
          <w:tcPr>
            <w:tcW w:w="2126" w:type="dxa"/>
            <w:tcBorders>
              <w:top w:val="nil"/>
              <w:left w:val="nil"/>
              <w:bottom w:val="single" w:sz="8" w:space="0" w:color="000000"/>
              <w:right w:val="nil"/>
            </w:tcBorders>
            <w:shd w:val="clear" w:color="auto" w:fill="auto"/>
            <w:tcMar>
              <w:top w:w="100" w:type="dxa"/>
              <w:left w:w="100" w:type="dxa"/>
              <w:bottom w:w="100" w:type="dxa"/>
              <w:right w:w="100" w:type="dxa"/>
            </w:tcMar>
            <w:vAlign w:val="bottom"/>
          </w:tcPr>
          <w:p w14:paraId="069AD7B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16.97 ± 0.95</w:t>
            </w: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vAlign w:val="bottom"/>
          </w:tcPr>
          <w:p w14:paraId="7D5164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17.72 ± 1.26</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367E4D5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0.64</w:t>
            </w:r>
          </w:p>
        </w:tc>
      </w:tr>
      <w:tr w:rsidR="00425E0F" w:rsidRPr="00443F82" w14:paraId="22A3E42E" w14:textId="77777777" w:rsidTr="006E4F88">
        <w:trPr>
          <w:trHeight w:val="1125"/>
        </w:trPr>
        <w:tc>
          <w:tcPr>
            <w:tcW w:w="8080" w:type="dxa"/>
            <w:gridSpan w:val="5"/>
            <w:tcBorders>
              <w:top w:val="nil"/>
              <w:left w:val="nil"/>
              <w:bottom w:val="single" w:sz="8" w:space="0" w:color="000000"/>
              <w:right w:val="nil"/>
            </w:tcBorders>
            <w:shd w:val="clear" w:color="auto" w:fill="auto"/>
            <w:tcMar>
              <w:top w:w="100" w:type="dxa"/>
              <w:left w:w="100" w:type="dxa"/>
              <w:bottom w:w="100" w:type="dxa"/>
              <w:right w:w="100" w:type="dxa"/>
            </w:tcMar>
          </w:tcPr>
          <w:p w14:paraId="2E6CE542"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PSI=Psychosocial Index; IES-R=Impact of Event Scale - Revised; CD-RISC=Connor-Davidson Resilience Scale; HADS=Hospital Anxiety Depression Scale; NEO-N=Neo Five Factor Inventory, Neuroticism Subscale; IPQ-R= Illness Perception Questionnaire-Revised.</w:t>
            </w:r>
          </w:p>
        </w:tc>
      </w:tr>
    </w:tbl>
    <w:p w14:paraId="04756BF7" w14:textId="77777777" w:rsidR="00425E0F" w:rsidRPr="00443F82" w:rsidRDefault="00425E0F" w:rsidP="00443F82">
      <w:pPr>
        <w:spacing w:after="24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0AE25A76" w14:textId="77777777" w:rsidR="00D50C4A" w:rsidRPr="00443F82" w:rsidRDefault="00D50C4A" w:rsidP="00443F82">
      <w:pPr>
        <w:spacing w:after="200"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Discussion</w:t>
      </w:r>
    </w:p>
    <w:p w14:paraId="1D3DDBA0" w14:textId="3917C45D" w:rsidR="00D50C4A" w:rsidRPr="0054549F" w:rsidRDefault="00D50C4A" w:rsidP="00443F82">
      <w:pPr>
        <w:spacing w:line="360" w:lineRule="auto"/>
        <w:jc w:val="both"/>
        <w:rPr>
          <w:rFonts w:ascii="Garamond" w:eastAsia="Times New Roman" w:hAnsi="Garamond" w:cs="Times New Roman"/>
          <w:color w:val="202020"/>
          <w:sz w:val="24"/>
          <w:szCs w:val="24"/>
          <w:highlight w:val="white"/>
          <w:lang w:val="en-US"/>
        </w:rPr>
      </w:pPr>
      <w:r w:rsidRPr="00443F82">
        <w:rPr>
          <w:rFonts w:ascii="Garamond" w:eastAsia="Times New Roman" w:hAnsi="Garamond" w:cs="Times New Roman"/>
          <w:color w:val="202020"/>
          <w:sz w:val="24"/>
          <w:szCs w:val="24"/>
          <w:lang w:val="en-US"/>
        </w:rPr>
        <w:t xml:space="preserve">The purpose of the present study was to determine the psychological profile in a sample of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-19 outpatients. In our first hypothesis, we expected that patients who had COVID-19 infection would </w:t>
      </w:r>
      <w:r w:rsidRPr="00443F82">
        <w:rPr>
          <w:rFonts w:ascii="Garamond" w:eastAsia="Times New Roman" w:hAnsi="Garamond" w:cs="Times New Roman"/>
          <w:color w:val="202020"/>
          <w:sz w:val="24"/>
          <w:szCs w:val="24"/>
          <w:lang w:val="en-US"/>
        </w:rPr>
        <w:lastRenderedPageBreak/>
        <w:t xml:space="preserve">exhibit more features of psychological distress such as post-traumatic symptoms, poor psychological </w:t>
      </w:r>
      <w:proofErr w:type="spellStart"/>
      <w:r w:rsidRPr="00443F82">
        <w:rPr>
          <w:rFonts w:ascii="Garamond" w:eastAsia="Times New Roman" w:hAnsi="Garamond" w:cs="Times New Roman"/>
          <w:color w:val="202020"/>
          <w:sz w:val="24"/>
          <w:szCs w:val="24"/>
          <w:lang w:val="en-US"/>
        </w:rPr>
        <w:t>well being</w:t>
      </w:r>
      <w:proofErr w:type="spellEnd"/>
      <w:r w:rsidRPr="00443F82">
        <w:rPr>
          <w:rFonts w:ascii="Garamond" w:eastAsia="Times New Roman" w:hAnsi="Garamond" w:cs="Times New Roman"/>
          <w:color w:val="202020"/>
          <w:sz w:val="24"/>
          <w:szCs w:val="24"/>
          <w:lang w:val="en-US"/>
        </w:rPr>
        <w:t xml:space="preserve">, </w:t>
      </w:r>
      <w:proofErr w:type="gramStart"/>
      <w:r w:rsidRPr="00443F82">
        <w:rPr>
          <w:rFonts w:ascii="Garamond" w:eastAsia="Times New Roman" w:hAnsi="Garamond" w:cs="Times New Roman"/>
          <w:color w:val="202020"/>
          <w:sz w:val="24"/>
          <w:szCs w:val="24"/>
          <w:lang w:val="en-US"/>
        </w:rPr>
        <w:t>depression</w:t>
      </w:r>
      <w:proofErr w:type="gramEnd"/>
      <w:r w:rsidRPr="00443F82">
        <w:rPr>
          <w:rFonts w:ascii="Garamond" w:eastAsia="Times New Roman" w:hAnsi="Garamond" w:cs="Times New Roman"/>
          <w:color w:val="202020"/>
          <w:sz w:val="24"/>
          <w:szCs w:val="24"/>
          <w:lang w:val="en-US"/>
        </w:rPr>
        <w:t xml:space="preserve"> and anxiety symptoms. This hypothesis was confirmed. On IES-R evaluation we found a significant state of hyperarousal characterized by agitation, irritability, nervousness, and physiological activation; no relevant symptoms related to avoidance and intrusion of the COVID-19 experience emerged. About psychological functioning evaluated with PSI we found a low perception of well-being</w:t>
      </w:r>
      <w:r w:rsidRPr="00443F82">
        <w:rPr>
          <w:rFonts w:ascii="Garamond" w:eastAsia="Roboto" w:hAnsi="Garamond" w:cs="Roboto"/>
          <w:color w:val="202020"/>
          <w:sz w:val="24"/>
          <w:szCs w:val="24"/>
          <w:highlight w:val="white"/>
          <w:lang w:val="en-US"/>
        </w:rPr>
        <w:t xml:space="preserve"> </w:t>
      </w:r>
      <w:r w:rsidRPr="00443F82">
        <w:rPr>
          <w:rFonts w:ascii="Garamond" w:eastAsia="Times New Roman" w:hAnsi="Garamond" w:cs="Times New Roman"/>
          <w:color w:val="202020"/>
          <w:sz w:val="24"/>
          <w:szCs w:val="24"/>
          <w:highlight w:val="white"/>
          <w:lang w:val="en-US"/>
        </w:rPr>
        <w:t xml:space="preserve">and high levels of psychological distress, as well the </w:t>
      </w:r>
      <w:r w:rsidRPr="00443F82">
        <w:rPr>
          <w:rFonts w:ascii="Garamond" w:eastAsia="Times New Roman" w:hAnsi="Garamond" w:cs="Times New Roman"/>
          <w:color w:val="202020"/>
          <w:sz w:val="24"/>
          <w:szCs w:val="24"/>
          <w:lang w:val="en-US"/>
        </w:rPr>
        <w:t xml:space="preserve">presence of objective stress. There was also a tendency to express negative emotions and difficulty managing them in response to stressful </w:t>
      </w:r>
      <w:r w:rsidRPr="00443F82">
        <w:rPr>
          <w:rFonts w:ascii="Garamond" w:eastAsia="Times New Roman" w:hAnsi="Garamond" w:cs="Times New Roman"/>
          <w:color w:val="202020"/>
          <w:sz w:val="24"/>
          <w:szCs w:val="24"/>
          <w:highlight w:val="white"/>
          <w:lang w:val="en-US"/>
        </w:rPr>
        <w:t xml:space="preserve">events. Moreover, the presence of a clinically significant depressive symptomatology was detected. Lastly, overall resilience levels were average. Our findings are consistent with a growing body of recent literature that pointed out high rates of depression, anxiety, sleep disorders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Deng et al.,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and post-traumatic stress symptoms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highlight w:val="white"/>
          <w:lang w:val="en-US"/>
        </w:rPr>
        <w:t>Sher,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in patients recovered from COVID-19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highlight w:val="white"/>
          <w:lang w:val="en-US"/>
        </w:rPr>
        <w:t xml:space="preserve">Mazza et al., 2020; </w:t>
      </w:r>
      <w:proofErr w:type="spellStart"/>
      <w:r w:rsidR="002E4A00" w:rsidRPr="00443F82">
        <w:rPr>
          <w:rFonts w:ascii="Garamond" w:eastAsia="Times New Roman" w:hAnsi="Garamond" w:cs="Times New Roman"/>
          <w:color w:val="202020"/>
          <w:sz w:val="24"/>
          <w:szCs w:val="24"/>
          <w:highlight w:val="white"/>
          <w:lang w:val="en-US"/>
        </w:rPr>
        <w:t>Orrù</w:t>
      </w:r>
      <w:proofErr w:type="spellEnd"/>
      <w:r w:rsidR="002E4A00" w:rsidRPr="00443F82">
        <w:rPr>
          <w:rFonts w:ascii="Garamond" w:eastAsia="Times New Roman" w:hAnsi="Garamond" w:cs="Times New Roman"/>
          <w:color w:val="202020"/>
          <w:sz w:val="24"/>
          <w:szCs w:val="24"/>
          <w:highlight w:val="white"/>
          <w:lang w:val="en-US"/>
        </w:rPr>
        <w:t xml:space="preserve"> et al.,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In addition, previous studies indicate that post-traumatic stress symptoms are a part of post-intensive care unit syndrome that can be due to various factors such as fear of death, invasive procedure, pain, impossibility to communicate, fatigue, weakness, sensorimotor deficit, and sleep privation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Wade et al., 2013</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Previously, the post-disease symptoms and poor quality of life a year after infection were reported in other coronavirus outbreaks such as the severe acute respiratory syndrome (SARS) of 2002 and the Middle East respiratory syndrome (MERS) of 2012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Ahmed et al., 2020</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lang w:val="en-US"/>
        </w:rPr>
        <w:tab/>
      </w:r>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 xml:space="preserve">                                                  </w:t>
      </w:r>
      <w:r w:rsidRPr="00443F82">
        <w:rPr>
          <w:rFonts w:ascii="Garamond" w:eastAsia="Times New Roman" w:hAnsi="Garamond" w:cs="Times New Roman"/>
          <w:color w:val="202020"/>
          <w:sz w:val="24"/>
          <w:szCs w:val="24"/>
          <w:lang w:val="en-US"/>
        </w:rPr>
        <w:t>In our second hypothesis, we investigated gender differences in anxiety-depressive and post-traumatic stress symptoms taking account of protective and risk factors (</w:t>
      </w:r>
      <w:proofErr w:type="gramStart"/>
      <w:r w:rsidRPr="00443F82">
        <w:rPr>
          <w:rFonts w:ascii="Garamond" w:eastAsia="Times New Roman" w:hAnsi="Garamond" w:cs="Times New Roman"/>
          <w:color w:val="202020"/>
          <w:sz w:val="24"/>
          <w:szCs w:val="24"/>
          <w:lang w:val="en-US"/>
        </w:rPr>
        <w:t>e.g.</w:t>
      </w:r>
      <w:proofErr w:type="gramEnd"/>
      <w:r w:rsidRPr="00443F82">
        <w:rPr>
          <w:rFonts w:ascii="Garamond" w:eastAsia="Times New Roman" w:hAnsi="Garamond" w:cs="Times New Roman"/>
          <w:color w:val="202020"/>
          <w:sz w:val="24"/>
          <w:szCs w:val="24"/>
          <w:lang w:val="en-US"/>
        </w:rPr>
        <w:t xml:space="preserve"> resilience levels, gender, having a partner or being single). Our findings showed the role of female gender as a risk factor with respect to psychological profile in the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-19 outpatients. In particular, the female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-19 outpatients had a higher perception of distress, hyperarousal manifestations and depressive symptomatology than the male group in our sample. Indeed, recent literature suggests that female gender was related with higher risk of persistent symptoms of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 syndrome </w:t>
      </w:r>
      <w:r w:rsidR="00467667" w:rsidRPr="00443F82">
        <w:rPr>
          <w:rFonts w:ascii="Garamond" w:eastAsia="Times New Roman" w:hAnsi="Garamond" w:cs="Times New Roman"/>
          <w:color w:val="202020"/>
          <w:sz w:val="24"/>
          <w:szCs w:val="24"/>
          <w:lang w:val="en-US"/>
        </w:rPr>
        <w:t>(</w:t>
      </w:r>
      <w:proofErr w:type="spellStart"/>
      <w:r w:rsidR="002E4A00" w:rsidRPr="00443F82">
        <w:rPr>
          <w:rFonts w:ascii="Garamond" w:hAnsi="Garamond" w:cs="Segoe UI"/>
          <w:color w:val="212121"/>
          <w:sz w:val="24"/>
          <w:szCs w:val="24"/>
          <w:shd w:val="clear" w:color="auto" w:fill="FFFFFF"/>
        </w:rPr>
        <w:t>Tleyjeh</w:t>
      </w:r>
      <w:proofErr w:type="spellEnd"/>
      <w:r w:rsidR="002E4A00" w:rsidRPr="00443F82">
        <w:rPr>
          <w:rFonts w:ascii="Garamond" w:hAnsi="Garamond" w:cs="Segoe UI"/>
          <w:color w:val="212121"/>
          <w:sz w:val="24"/>
          <w:szCs w:val="24"/>
          <w:shd w:val="clear" w:color="auto" w:fill="FFFFFF"/>
        </w:rPr>
        <w:t xml:space="preserve"> et al.,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with more frequent diagnosis of long COVID </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Bai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and with increased risk of long-term psychological Post-COVID-19 symptoms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Fernández-de-Las-</w:t>
      </w:r>
      <w:proofErr w:type="spellStart"/>
      <w:r w:rsidR="002E4A00" w:rsidRPr="00443F82">
        <w:rPr>
          <w:rFonts w:ascii="Garamond" w:hAnsi="Garamond" w:cs="Segoe UI"/>
          <w:color w:val="212121"/>
          <w:sz w:val="24"/>
          <w:szCs w:val="24"/>
          <w:shd w:val="clear" w:color="auto" w:fill="FFFFFF"/>
        </w:rPr>
        <w:t>Peñas</w:t>
      </w:r>
      <w:proofErr w:type="spellEnd"/>
      <w:r w:rsidR="002E4A00" w:rsidRPr="00443F82">
        <w:rPr>
          <w:rFonts w:ascii="Garamond" w:hAnsi="Garamond" w:cs="Segoe UI"/>
          <w:color w:val="212121"/>
          <w:sz w:val="24"/>
          <w:szCs w:val="24"/>
          <w:shd w:val="clear" w:color="auto" w:fill="FFFFFF"/>
        </w:rPr>
        <w:t xml:space="preserve">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also in longitudinal studies </w:t>
      </w:r>
      <w:r w:rsidR="00467667" w:rsidRPr="00443F82">
        <w:rPr>
          <w:rFonts w:ascii="Garamond" w:eastAsia="Times New Roman" w:hAnsi="Garamond" w:cs="Times New Roman"/>
          <w:color w:val="202020"/>
          <w:sz w:val="24"/>
          <w:szCs w:val="24"/>
          <w:lang w:val="en-US"/>
        </w:rPr>
        <w:t>(</w:t>
      </w:r>
      <w:proofErr w:type="spellStart"/>
      <w:r w:rsidR="002E4A00" w:rsidRPr="00443F82">
        <w:rPr>
          <w:rFonts w:ascii="Garamond" w:hAnsi="Garamond" w:cs="Segoe UI"/>
          <w:color w:val="212121"/>
          <w:sz w:val="24"/>
          <w:szCs w:val="24"/>
          <w:shd w:val="clear" w:color="auto" w:fill="FFFFFF"/>
        </w:rPr>
        <w:t>Michelen</w:t>
      </w:r>
      <w:proofErr w:type="spellEnd"/>
      <w:r w:rsidR="002E4A00" w:rsidRPr="00443F82">
        <w:rPr>
          <w:rFonts w:ascii="Garamond" w:hAnsi="Garamond" w:cs="Segoe UI"/>
          <w:color w:val="212121"/>
          <w:sz w:val="24"/>
          <w:szCs w:val="24"/>
          <w:shd w:val="clear" w:color="auto" w:fill="FFFFFF"/>
        </w:rPr>
        <w:t xml:space="preserve"> et al.,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w:t>
      </w:r>
      <w:r w:rsidR="0054549F">
        <w:rPr>
          <w:rFonts w:ascii="Garamond" w:eastAsia="Times New Roman" w:hAnsi="Garamond" w:cs="Times New Roman"/>
          <w:color w:val="202020"/>
          <w:sz w:val="24"/>
          <w:szCs w:val="24"/>
          <w:lang w:val="en-US"/>
        </w:rPr>
        <w:t xml:space="preserve"> </w:t>
      </w:r>
      <w:r w:rsidR="00C70414" w:rsidRPr="00C70414">
        <w:rPr>
          <w:rFonts w:ascii="Garamond" w:eastAsia="Times New Roman" w:hAnsi="Garamond" w:cs="Times New Roman"/>
          <w:color w:val="202020"/>
          <w:sz w:val="24"/>
          <w:szCs w:val="24"/>
          <w:lang w:val="en-US"/>
        </w:rPr>
        <w:t>Furthermore</w:t>
      </w:r>
      <w:r w:rsidR="00C70414">
        <w:rPr>
          <w:rFonts w:ascii="Garamond" w:eastAsia="Times New Roman" w:hAnsi="Garamond" w:cs="Times New Roman"/>
          <w:color w:val="202020"/>
          <w:sz w:val="24"/>
          <w:szCs w:val="24"/>
          <w:lang w:val="en-US"/>
        </w:rPr>
        <w:t>, p</w:t>
      </w:r>
      <w:r w:rsidR="00C70414" w:rsidRPr="00C70414">
        <w:rPr>
          <w:rFonts w:ascii="Garamond" w:eastAsia="Times New Roman" w:hAnsi="Garamond" w:cs="Times New Roman"/>
          <w:color w:val="202020"/>
          <w:sz w:val="24"/>
          <w:szCs w:val="24"/>
          <w:lang w:val="en-US"/>
        </w:rPr>
        <w:t>revious studies have observed a female versus male disadvantage among healthcare workers during the first wave of COVID-19, noting greater emotional distress and post-traumatic stress symptoms in women</w:t>
      </w:r>
      <w:r w:rsidR="00C70414">
        <w:rPr>
          <w:rFonts w:ascii="Garamond" w:eastAsia="Times New Roman" w:hAnsi="Garamond" w:cs="Times New Roman"/>
          <w:color w:val="202020"/>
          <w:sz w:val="24"/>
          <w:szCs w:val="24"/>
          <w:lang w:val="en-US"/>
        </w:rPr>
        <w:t xml:space="preserve"> (</w:t>
      </w:r>
      <w:proofErr w:type="spellStart"/>
      <w:r w:rsidR="00C70414">
        <w:rPr>
          <w:rFonts w:ascii="Garamond" w:eastAsia="Times New Roman" w:hAnsi="Garamond" w:cs="Times New Roman"/>
          <w:color w:val="202020"/>
          <w:sz w:val="24"/>
          <w:szCs w:val="24"/>
          <w:lang w:val="en-US"/>
        </w:rPr>
        <w:t>Petito</w:t>
      </w:r>
      <w:proofErr w:type="spellEnd"/>
      <w:r w:rsidR="00C70414">
        <w:rPr>
          <w:rFonts w:ascii="Garamond" w:eastAsia="Times New Roman" w:hAnsi="Garamond" w:cs="Times New Roman"/>
          <w:color w:val="202020"/>
          <w:sz w:val="24"/>
          <w:szCs w:val="24"/>
          <w:lang w:val="en-US"/>
        </w:rPr>
        <w:t xml:space="preserve"> et al., 2022)</w:t>
      </w:r>
      <w:r w:rsidR="00C70414" w:rsidRPr="00C70414">
        <w:rPr>
          <w:rFonts w:ascii="Garamond" w:eastAsia="Times New Roman" w:hAnsi="Garamond" w:cs="Times New Roman"/>
          <w:color w:val="202020"/>
          <w:sz w:val="24"/>
          <w:szCs w:val="24"/>
          <w:lang w:val="en-US"/>
        </w:rPr>
        <w:t>.</w:t>
      </w:r>
      <w:r w:rsidR="00C70414">
        <w:rPr>
          <w:rFonts w:ascii="Garamond" w:eastAsia="Times New Roman" w:hAnsi="Garamond" w:cs="Times New Roman"/>
          <w:color w:val="202020"/>
          <w:sz w:val="24"/>
          <w:szCs w:val="24"/>
          <w:lang w:val="en-US"/>
        </w:rPr>
        <w:t xml:space="preserve"> </w:t>
      </w:r>
      <w:r w:rsidRPr="00443F82">
        <w:rPr>
          <w:rFonts w:ascii="Garamond" w:eastAsia="Times New Roman" w:hAnsi="Garamond" w:cs="Times New Roman"/>
          <w:color w:val="202020"/>
          <w:sz w:val="24"/>
          <w:szCs w:val="24"/>
          <w:lang w:val="en-US"/>
        </w:rPr>
        <w:t xml:space="preserve">Our findings may be supported by the trait of neuroticism that appeared more pronounced in the women group in our sample. These data are consistent with other studies in which females had higher scores on the neuroticism scale </w:t>
      </w:r>
      <w:r w:rsidR="00467667" w:rsidRPr="00443F82">
        <w:rPr>
          <w:rFonts w:ascii="Garamond" w:eastAsia="Times New Roman" w:hAnsi="Garamond" w:cs="Times New Roman"/>
          <w:color w:val="202020"/>
          <w:sz w:val="24"/>
          <w:szCs w:val="24"/>
          <w:lang w:val="en-US"/>
        </w:rPr>
        <w:t>(</w:t>
      </w:r>
      <w:proofErr w:type="spellStart"/>
      <w:r w:rsidR="002E4A00" w:rsidRPr="00443F82">
        <w:rPr>
          <w:rFonts w:ascii="Garamond" w:hAnsi="Garamond" w:cs="Segoe UI"/>
          <w:color w:val="212121"/>
          <w:sz w:val="24"/>
          <w:szCs w:val="24"/>
          <w:shd w:val="clear" w:color="auto" w:fill="FFFFFF"/>
        </w:rPr>
        <w:t>Jorm</w:t>
      </w:r>
      <w:proofErr w:type="spellEnd"/>
      <w:r w:rsidR="002E4A00" w:rsidRPr="00443F82">
        <w:rPr>
          <w:rFonts w:ascii="Garamond" w:hAnsi="Garamond" w:cs="Segoe UI"/>
          <w:color w:val="212121"/>
          <w:sz w:val="24"/>
          <w:szCs w:val="24"/>
          <w:shd w:val="clear" w:color="auto" w:fill="FFFFFF"/>
        </w:rPr>
        <w:t xml:space="preserve">, </w:t>
      </w:r>
      <w:proofErr w:type="gramStart"/>
      <w:r w:rsidR="002E4A00" w:rsidRPr="00443F82">
        <w:rPr>
          <w:rFonts w:ascii="Garamond" w:hAnsi="Garamond" w:cs="Segoe UI"/>
          <w:color w:val="212121"/>
          <w:sz w:val="24"/>
          <w:szCs w:val="24"/>
          <w:shd w:val="clear" w:color="auto" w:fill="FFFFFF"/>
        </w:rPr>
        <w:t>1987;</w:t>
      </w:r>
      <w:proofErr w:type="spellStart"/>
      <w:r w:rsidR="002E4A00" w:rsidRPr="00443F82">
        <w:rPr>
          <w:rFonts w:ascii="Garamond" w:eastAsia="Times New Roman" w:hAnsi="Garamond" w:cs="Times New Roman"/>
          <w:color w:val="202020"/>
          <w:sz w:val="24"/>
          <w:szCs w:val="24"/>
          <w:lang w:val="en-US"/>
        </w:rPr>
        <w:t>C</w:t>
      </w:r>
      <w:r w:rsidR="002E4A00" w:rsidRPr="00443F82">
        <w:rPr>
          <w:rFonts w:ascii="Garamond" w:hAnsi="Garamond" w:cs="Segoe UI"/>
          <w:color w:val="212121"/>
          <w:sz w:val="24"/>
          <w:szCs w:val="24"/>
          <w:shd w:val="clear" w:color="auto" w:fill="FFFFFF"/>
          <w:lang w:val="en-US"/>
        </w:rPr>
        <w:t>Mac</w:t>
      </w:r>
      <w:proofErr w:type="spellEnd"/>
      <w:proofErr w:type="gramEnd"/>
      <w:r w:rsidR="002E4A00" w:rsidRPr="00443F82">
        <w:rPr>
          <w:rFonts w:ascii="Garamond" w:hAnsi="Garamond" w:cs="Segoe UI"/>
          <w:color w:val="212121"/>
          <w:sz w:val="24"/>
          <w:szCs w:val="24"/>
          <w:shd w:val="clear" w:color="auto" w:fill="FFFFFF"/>
          <w:lang w:val="en-US"/>
        </w:rPr>
        <w:t xml:space="preserve"> Giolla &amp; </w:t>
      </w:r>
      <w:proofErr w:type="spellStart"/>
      <w:r w:rsidR="002E4A00" w:rsidRPr="00443F82">
        <w:rPr>
          <w:rFonts w:ascii="Garamond" w:hAnsi="Garamond" w:cs="Segoe UI"/>
          <w:color w:val="212121"/>
          <w:sz w:val="24"/>
          <w:szCs w:val="24"/>
          <w:shd w:val="clear" w:color="auto" w:fill="FFFFFF"/>
          <w:lang w:val="en-US"/>
        </w:rPr>
        <w:t>Kajonius</w:t>
      </w:r>
      <w:proofErr w:type="spellEnd"/>
      <w:r w:rsidR="002E4A00" w:rsidRPr="00443F82">
        <w:rPr>
          <w:rFonts w:ascii="Garamond" w:hAnsi="Garamond" w:cs="Segoe UI"/>
          <w:color w:val="212121"/>
          <w:sz w:val="24"/>
          <w:szCs w:val="24"/>
          <w:shd w:val="clear" w:color="auto" w:fill="FFFFFF"/>
          <w:lang w:val="en-US"/>
        </w:rPr>
        <w:t>, 2019</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 xml:space="preserve">. </w:t>
      </w:r>
      <w:r w:rsidR="0054549F" w:rsidRPr="00443F82">
        <w:rPr>
          <w:rFonts w:ascii="Garamond" w:eastAsia="Times New Roman" w:hAnsi="Garamond" w:cs="Times New Roman"/>
          <w:color w:val="202020"/>
          <w:sz w:val="24"/>
          <w:szCs w:val="24"/>
          <w:lang w:val="en-US"/>
        </w:rPr>
        <w:t>It</w:t>
      </w:r>
      <w:r w:rsidRPr="00443F82">
        <w:rPr>
          <w:rFonts w:ascii="Garamond" w:eastAsia="Times New Roman" w:hAnsi="Garamond" w:cs="Times New Roman"/>
          <w:color w:val="202020"/>
          <w:sz w:val="24"/>
          <w:szCs w:val="24"/>
          <w:lang w:val="en-US"/>
        </w:rPr>
        <w:t xml:space="preserve"> was suggested that higher neuroticism levels were associated with low stress tolerance, high emotional </w:t>
      </w:r>
      <w:proofErr w:type="gramStart"/>
      <w:r w:rsidRPr="00443F82">
        <w:rPr>
          <w:rFonts w:ascii="Garamond" w:eastAsia="Times New Roman" w:hAnsi="Garamond" w:cs="Times New Roman"/>
          <w:color w:val="202020"/>
          <w:sz w:val="24"/>
          <w:szCs w:val="24"/>
          <w:lang w:val="en-US"/>
        </w:rPr>
        <w:t>responsiveness</w:t>
      </w:r>
      <w:proofErr w:type="gramEnd"/>
      <w:r w:rsidRPr="00443F82">
        <w:rPr>
          <w:rFonts w:ascii="Garamond" w:eastAsia="Times New Roman" w:hAnsi="Garamond" w:cs="Times New Roman"/>
          <w:color w:val="202020"/>
          <w:sz w:val="24"/>
          <w:szCs w:val="24"/>
          <w:lang w:val="en-US"/>
        </w:rPr>
        <w:t xml:space="preserve"> and persistent negative feelings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olor w:val="212121"/>
          <w:sz w:val="24"/>
          <w:szCs w:val="24"/>
          <w:shd w:val="clear" w:color="auto" w:fill="FFFFFF"/>
        </w:rPr>
        <w:t>Lahey, 2009</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In addition, the higher levels of resilience and well-being in the male gender in our sample </w:t>
      </w:r>
      <w:r w:rsidRPr="00443F82">
        <w:rPr>
          <w:rFonts w:ascii="Garamond" w:eastAsia="Times New Roman" w:hAnsi="Garamond" w:cs="Times New Roman"/>
          <w:color w:val="202020"/>
          <w:sz w:val="24"/>
          <w:szCs w:val="24"/>
          <w:lang w:val="en-US"/>
        </w:rPr>
        <w:lastRenderedPageBreak/>
        <w:t xml:space="preserve">confirmed that women had an increased risk to develop psychological illness. According to social role theory, gender differences in personality result from men’s and women’s assigned roles, not from innate psychological differences between the sexes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lang w:val="en-US"/>
        </w:rPr>
        <w:t xml:space="preserve">Mac Giolla &amp; </w:t>
      </w:r>
      <w:proofErr w:type="spellStart"/>
      <w:r w:rsidR="002E4A00" w:rsidRPr="00443F82">
        <w:rPr>
          <w:rFonts w:ascii="Garamond" w:hAnsi="Garamond" w:cs="Segoe UI"/>
          <w:color w:val="212121"/>
          <w:sz w:val="24"/>
          <w:szCs w:val="24"/>
          <w:shd w:val="clear" w:color="auto" w:fill="FFFFFF"/>
          <w:lang w:val="en-US"/>
        </w:rPr>
        <w:t>Kajonius</w:t>
      </w:r>
      <w:proofErr w:type="spellEnd"/>
      <w:r w:rsidR="002E4A00" w:rsidRPr="00443F82">
        <w:rPr>
          <w:rFonts w:ascii="Garamond" w:hAnsi="Garamond" w:cs="Segoe UI"/>
          <w:color w:val="212121"/>
          <w:sz w:val="24"/>
          <w:szCs w:val="24"/>
          <w:shd w:val="clear" w:color="auto" w:fill="FFFFFF"/>
          <w:lang w:val="en-US"/>
        </w:rPr>
        <w:t>, 2019</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Gender differences could result from the different roles assigned to men and women in all societies in which, for example, men are more often assigned to income-producing work, while women to childcare and tending the home</w:t>
      </w:r>
      <w:r w:rsidR="00C70414">
        <w:rPr>
          <w:rFonts w:ascii="Garamond" w:eastAsia="Times New Roman" w:hAnsi="Garamond" w:cs="Times New Roman"/>
          <w:color w:val="202020"/>
          <w:sz w:val="24"/>
          <w:szCs w:val="24"/>
          <w:lang w:val="en-US"/>
        </w:rPr>
        <w:t xml:space="preserve"> (Lowe et al., 2021)</w:t>
      </w:r>
      <w:r w:rsidRPr="00443F82">
        <w:rPr>
          <w:rFonts w:ascii="Garamond" w:eastAsia="Times New Roman" w:hAnsi="Garamond" w:cs="Times New Roman"/>
          <w:color w:val="202020"/>
          <w:sz w:val="24"/>
          <w:szCs w:val="24"/>
          <w:lang w:val="en-US"/>
        </w:rPr>
        <w:t xml:space="preserve">. Consistent with this observation, </w:t>
      </w:r>
      <w:proofErr w:type="spellStart"/>
      <w:r w:rsidRPr="00443F82">
        <w:rPr>
          <w:rFonts w:ascii="Garamond" w:eastAsia="Times New Roman" w:hAnsi="Garamond" w:cs="Times New Roman"/>
          <w:color w:val="202020"/>
          <w:sz w:val="24"/>
          <w:szCs w:val="24"/>
          <w:lang w:val="en-US"/>
        </w:rPr>
        <w:t>Benassi</w:t>
      </w:r>
      <w:proofErr w:type="spellEnd"/>
      <w:r w:rsidRPr="00443F82">
        <w:rPr>
          <w:rFonts w:ascii="Garamond" w:eastAsia="Times New Roman" w:hAnsi="Garamond" w:cs="Times New Roman"/>
          <w:color w:val="202020"/>
          <w:sz w:val="24"/>
          <w:szCs w:val="24"/>
          <w:lang w:val="en-US"/>
        </w:rPr>
        <w:t xml:space="preserve"> and colleagues </w:t>
      </w:r>
      <w:r w:rsidR="00467667" w:rsidRPr="00443F82">
        <w:rPr>
          <w:rFonts w:ascii="Garamond" w:eastAsia="Times New Roman" w:hAnsi="Garamond" w:cs="Times New Roman"/>
          <w:color w:val="202020"/>
          <w:sz w:val="24"/>
          <w:szCs w:val="24"/>
          <w:lang w:val="en-US"/>
        </w:rPr>
        <w:t>(</w:t>
      </w:r>
      <w:proofErr w:type="spellStart"/>
      <w:r w:rsidR="002E4A00" w:rsidRPr="00443F82">
        <w:rPr>
          <w:rFonts w:ascii="Garamond" w:eastAsia="Times New Roman" w:hAnsi="Garamond"/>
          <w:sz w:val="24"/>
          <w:szCs w:val="24"/>
          <w:lang w:val="en-US" w:eastAsia="it-IT"/>
        </w:rPr>
        <w:t>Benassi</w:t>
      </w:r>
      <w:proofErr w:type="spellEnd"/>
      <w:r w:rsidR="002E4A00" w:rsidRPr="00443F82">
        <w:rPr>
          <w:rFonts w:ascii="Garamond" w:eastAsia="Times New Roman" w:hAnsi="Garamond"/>
          <w:sz w:val="24"/>
          <w:szCs w:val="24"/>
          <w:lang w:val="en-US" w:eastAsia="it-IT"/>
        </w:rPr>
        <w:t xml:space="preserve"> et al., 2020</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found that during lockdown due to COVID-19, working women with children had greater anxiety symptoms than working women without children, given the same socioeconomic conditions. The Authors suggested that these differences may be due to working mothers' greater difficulty in reconciling and managing personal life roles, such as the responsibility of the maternal role, and the work role. Another explanation may be related to hormonal factors that play a role in female recovery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 xml:space="preserve">Mohamed, Moulin &amp; </w:t>
      </w:r>
      <w:proofErr w:type="spellStart"/>
      <w:r w:rsidR="002E4A00" w:rsidRPr="00443F82">
        <w:rPr>
          <w:rFonts w:ascii="Garamond" w:hAnsi="Garamond" w:cs="Segoe UI"/>
          <w:color w:val="212121"/>
          <w:sz w:val="24"/>
          <w:szCs w:val="24"/>
          <w:shd w:val="clear" w:color="auto" w:fill="FFFFFF"/>
        </w:rPr>
        <w:t>Schiöth</w:t>
      </w:r>
      <w:proofErr w:type="spellEnd"/>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 xml:space="preserve">2021; </w:t>
      </w:r>
      <w:r w:rsidR="002E4A00" w:rsidRPr="00443F82">
        <w:rPr>
          <w:rFonts w:ascii="Garamond" w:hAnsi="Garamond" w:cs="Segoe UI"/>
          <w:color w:val="212121"/>
          <w:sz w:val="24"/>
          <w:szCs w:val="24"/>
          <w:shd w:val="clear" w:color="auto" w:fill="FFFFFF"/>
        </w:rPr>
        <w:t>Bienvenu et al., 2020</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but also to low household and emotional help that could affect women’s mental health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 xml:space="preserve">Thibaut &amp; van </w:t>
      </w:r>
      <w:proofErr w:type="spellStart"/>
      <w:r w:rsidR="002E4A00" w:rsidRPr="00443F82">
        <w:rPr>
          <w:rFonts w:ascii="Garamond" w:hAnsi="Garamond" w:cs="Segoe UI"/>
          <w:color w:val="212121"/>
          <w:sz w:val="24"/>
          <w:szCs w:val="24"/>
          <w:shd w:val="clear" w:color="auto" w:fill="FFFFFF"/>
        </w:rPr>
        <w:t>Wijngaarden-Cremers</w:t>
      </w:r>
      <w:proofErr w:type="spellEnd"/>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Finally, we investigated the role of marital status (having a partner VS being single). Unlike our assumptions, we didn’t find any significance about this. In contrast to several studies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Williams, Zhang &amp; Packard</w:t>
      </w:r>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2016; Lawal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our findings did not show being single as a risk factor for the psychological well-being of our outpatients. These results could not be generalized due to the small size of our sample.</w:t>
      </w:r>
    </w:p>
    <w:p w14:paraId="691F4E0F"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 </w:t>
      </w:r>
    </w:p>
    <w:p w14:paraId="7102737B"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Conclusion</w:t>
      </w:r>
    </w:p>
    <w:p w14:paraId="06153451" w14:textId="77777777"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5CE08324" w14:textId="0B638FC2"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The present study highlights </w:t>
      </w:r>
      <w:proofErr w:type="gramStart"/>
      <w:r w:rsidRPr="00443F82">
        <w:rPr>
          <w:rFonts w:ascii="Garamond" w:eastAsia="Times New Roman" w:hAnsi="Garamond" w:cs="Times New Roman"/>
          <w:color w:val="202020"/>
          <w:sz w:val="24"/>
          <w:szCs w:val="24"/>
          <w:lang w:val="en-US"/>
        </w:rPr>
        <w:t>that patients</w:t>
      </w:r>
      <w:proofErr w:type="gramEnd"/>
      <w:r w:rsidRPr="00443F82">
        <w:rPr>
          <w:rFonts w:ascii="Garamond" w:eastAsia="Times New Roman" w:hAnsi="Garamond" w:cs="Times New Roman"/>
          <w:color w:val="202020"/>
          <w:sz w:val="24"/>
          <w:szCs w:val="24"/>
          <w:lang w:val="en-US"/>
        </w:rPr>
        <w:t xml:space="preserve"> who had COVID-19 exhibited psychological distress such as post-traumatic symptoms, poor psychological well-being, depression and anxiety symptoms for several weeks after infection. Moreover, our findings suggested that female outpatients had a higher perception of distress, hyperarousal manifestations and depressive symptomatology than the male counterpart. The findings of the present study suggest some consideration that may be useful in clinical practice. </w:t>
      </w:r>
      <w:proofErr w:type="gramStart"/>
      <w:r w:rsidRPr="00443F82">
        <w:rPr>
          <w:rFonts w:ascii="Garamond" w:eastAsia="Times New Roman" w:hAnsi="Garamond" w:cs="Times New Roman"/>
          <w:color w:val="202020"/>
          <w:sz w:val="24"/>
          <w:szCs w:val="24"/>
          <w:lang w:val="en-US"/>
        </w:rPr>
        <w:t>First of all</w:t>
      </w:r>
      <w:proofErr w:type="gramEnd"/>
      <w:r w:rsidRPr="00443F82">
        <w:rPr>
          <w:rFonts w:ascii="Garamond" w:eastAsia="Times New Roman" w:hAnsi="Garamond" w:cs="Times New Roman"/>
          <w:color w:val="202020"/>
          <w:sz w:val="24"/>
          <w:szCs w:val="24"/>
          <w:lang w:val="en-US"/>
        </w:rPr>
        <w:t xml:space="preserve">, the relevance of planning personalized interventions and assessment aimed at higher psychopathological risk groups, such as females. In this way it would be possible to operate from a prevention perspective, rather than acting when a form of psychological distress is already evident. Secondly, psychological functioning affects the organism and the brain; there is an effect on the neurobiology of patients. As a chain reaction, this process could impair a patient's immune system. Indeed, de </w:t>
      </w:r>
      <w:proofErr w:type="spellStart"/>
      <w:r w:rsidRPr="00443F82">
        <w:rPr>
          <w:rFonts w:ascii="Garamond" w:eastAsia="Times New Roman" w:hAnsi="Garamond" w:cs="Times New Roman"/>
          <w:color w:val="202020"/>
          <w:sz w:val="24"/>
          <w:szCs w:val="24"/>
          <w:lang w:val="en-US"/>
        </w:rPr>
        <w:t>Almondes</w:t>
      </w:r>
      <w:proofErr w:type="spellEnd"/>
      <w:r w:rsidRPr="00443F82">
        <w:rPr>
          <w:rFonts w:ascii="Garamond" w:eastAsia="Times New Roman" w:hAnsi="Garamond" w:cs="Times New Roman"/>
          <w:color w:val="202020"/>
          <w:sz w:val="24"/>
          <w:szCs w:val="24"/>
          <w:lang w:val="en-US"/>
        </w:rPr>
        <w:t xml:space="preserve"> and colleagues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2021)</w:t>
      </w:r>
      <w:r w:rsidRPr="00443F82">
        <w:rPr>
          <w:rFonts w:ascii="Garamond" w:eastAsia="Times New Roman" w:hAnsi="Garamond" w:cs="Times New Roman"/>
          <w:color w:val="202020"/>
          <w:sz w:val="24"/>
          <w:szCs w:val="24"/>
          <w:lang w:val="en-US"/>
        </w:rPr>
        <w:t xml:space="preserve"> pointed out that during the pandemic from COVID-19 healthcare workers were at high risk of psychophysiological and </w:t>
      </w:r>
      <w:proofErr w:type="spellStart"/>
      <w:r w:rsidRPr="00443F82">
        <w:rPr>
          <w:rFonts w:ascii="Garamond" w:eastAsia="Times New Roman" w:hAnsi="Garamond" w:cs="Times New Roman"/>
          <w:color w:val="202020"/>
          <w:sz w:val="24"/>
          <w:szCs w:val="24"/>
          <w:lang w:val="en-US"/>
        </w:rPr>
        <w:t>neuroimmunoendocrine</w:t>
      </w:r>
      <w:proofErr w:type="spellEnd"/>
      <w:r w:rsidRPr="00443F82">
        <w:rPr>
          <w:rFonts w:ascii="Garamond" w:eastAsia="Times New Roman" w:hAnsi="Garamond" w:cs="Times New Roman"/>
          <w:color w:val="202020"/>
          <w:sz w:val="24"/>
          <w:szCs w:val="24"/>
          <w:lang w:val="en-US"/>
        </w:rPr>
        <w:t xml:space="preserve"> impairment. In Author's opinion, stress is related to the immune system functioning and emotion regulation, affecting </w:t>
      </w:r>
      <w:r w:rsidRPr="00443F82">
        <w:rPr>
          <w:rFonts w:ascii="Garamond" w:eastAsia="Times New Roman" w:hAnsi="Garamond" w:cs="Times New Roman"/>
          <w:color w:val="202020"/>
          <w:sz w:val="24"/>
          <w:szCs w:val="24"/>
          <w:lang w:val="en-US"/>
        </w:rPr>
        <w:lastRenderedPageBreak/>
        <w:t xml:space="preserve">sleep disturbances, emotional problems, and the onset of immunological vulnerability. Psychological distress and anxious, </w:t>
      </w:r>
      <w:proofErr w:type="gramStart"/>
      <w:r w:rsidRPr="00443F82">
        <w:rPr>
          <w:rFonts w:ascii="Garamond" w:eastAsia="Times New Roman" w:hAnsi="Garamond" w:cs="Times New Roman"/>
          <w:color w:val="202020"/>
          <w:sz w:val="24"/>
          <w:szCs w:val="24"/>
          <w:lang w:val="en-US"/>
        </w:rPr>
        <w:t>depressive</w:t>
      </w:r>
      <w:proofErr w:type="gramEnd"/>
      <w:r w:rsidRPr="00443F82">
        <w:rPr>
          <w:rFonts w:ascii="Garamond" w:eastAsia="Times New Roman" w:hAnsi="Garamond" w:cs="Times New Roman"/>
          <w:color w:val="202020"/>
          <w:sz w:val="24"/>
          <w:szCs w:val="24"/>
          <w:lang w:val="en-US"/>
        </w:rPr>
        <w:t xml:space="preserve"> and posttraumatic stress symptoms could alter the immune system through </w:t>
      </w:r>
      <w:r w:rsidRPr="00443F82">
        <w:rPr>
          <w:rFonts w:ascii="Garamond" w:eastAsia="Times New Roman" w:hAnsi="Garamond" w:cs="Times New Roman"/>
          <w:color w:val="202020"/>
          <w:sz w:val="24"/>
          <w:szCs w:val="24"/>
          <w:highlight w:val="white"/>
          <w:lang w:val="en-US"/>
        </w:rPr>
        <w:t xml:space="preserve">neurobiological and </w:t>
      </w:r>
      <w:r w:rsidRPr="00443F82">
        <w:rPr>
          <w:rFonts w:ascii="Garamond" w:eastAsia="Times New Roman" w:hAnsi="Garamond" w:cs="Times New Roman"/>
          <w:color w:val="202020"/>
          <w:sz w:val="24"/>
          <w:szCs w:val="24"/>
          <w:lang w:val="en-US"/>
        </w:rPr>
        <w:t xml:space="preserve">chronic inflammatory mechanisms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 xml:space="preserve">de </w:t>
      </w:r>
      <w:proofErr w:type="spellStart"/>
      <w:r w:rsidR="002E4A00" w:rsidRPr="00443F82">
        <w:rPr>
          <w:rFonts w:ascii="Garamond" w:hAnsi="Garamond" w:cs="Segoe UI"/>
          <w:color w:val="212121"/>
          <w:sz w:val="24"/>
          <w:szCs w:val="24"/>
          <w:shd w:val="clear" w:color="auto" w:fill="FFFFFF"/>
        </w:rPr>
        <w:t>Almondes</w:t>
      </w:r>
      <w:proofErr w:type="spellEnd"/>
      <w:r w:rsidR="002E4A00" w:rsidRPr="00443F82">
        <w:rPr>
          <w:rFonts w:ascii="Garamond" w:hAnsi="Garamond" w:cs="Segoe UI"/>
          <w:color w:val="212121"/>
          <w:sz w:val="24"/>
          <w:szCs w:val="24"/>
          <w:shd w:val="clear" w:color="auto" w:fill="FFFFFF"/>
        </w:rPr>
        <w:t xml:space="preserve">, Marín </w:t>
      </w:r>
      <w:proofErr w:type="spellStart"/>
      <w:r w:rsidR="002E4A00" w:rsidRPr="00443F82">
        <w:rPr>
          <w:rFonts w:ascii="Garamond" w:hAnsi="Garamond" w:cs="Segoe UI"/>
          <w:color w:val="212121"/>
          <w:sz w:val="24"/>
          <w:szCs w:val="24"/>
          <w:shd w:val="clear" w:color="auto" w:fill="FFFFFF"/>
        </w:rPr>
        <w:t>Agudelo</w:t>
      </w:r>
      <w:proofErr w:type="spellEnd"/>
      <w:r w:rsidR="002E4A00" w:rsidRPr="00443F82">
        <w:rPr>
          <w:rFonts w:ascii="Garamond" w:hAnsi="Garamond" w:cs="Segoe UI"/>
          <w:color w:val="212121"/>
          <w:sz w:val="24"/>
          <w:szCs w:val="24"/>
          <w:shd w:val="clear" w:color="auto" w:fill="FFFFFF"/>
        </w:rPr>
        <w:t xml:space="preserve"> &amp; Jiménez-Correa,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Moreover, Sher </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suggests that psychiatric, neurological, and physical symptoms, in addition to inflammatory brain injury in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 syndrome could intensify the risk of suicidal ideation and behavior. Finally, the relevance to plan systematic follow up; this would allow us to observe the course of the organic pathology of these patients.</w:t>
      </w:r>
    </w:p>
    <w:p w14:paraId="2C13E0B5" w14:textId="77777777" w:rsidR="00D50C4A" w:rsidRPr="00443F82" w:rsidRDefault="00D50C4A" w:rsidP="00443F82">
      <w:pPr>
        <w:spacing w:after="24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11A0576C"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Limitations &amp; Strengths</w:t>
      </w:r>
    </w:p>
    <w:p w14:paraId="4F4691A4"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 </w:t>
      </w:r>
    </w:p>
    <w:p w14:paraId="0CF0A5B1" w14:textId="372CDC01"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Some important limitations should be noted. First, limitations of this study include the small number of patients involved and enrolled. Moreover, a consecutive non</w:t>
      </w:r>
      <w:r w:rsidRPr="00443F82">
        <w:rPr>
          <w:rFonts w:ascii="Cambria Math" w:eastAsia="Times New Roman" w:hAnsi="Cambria Math" w:cs="Cambria Math"/>
          <w:color w:val="202020"/>
          <w:sz w:val="24"/>
          <w:szCs w:val="24"/>
          <w:lang w:val="en-US"/>
        </w:rPr>
        <w:t>‐</w:t>
      </w:r>
      <w:r w:rsidRPr="00443F82">
        <w:rPr>
          <w:rFonts w:ascii="Garamond" w:eastAsia="Times New Roman" w:hAnsi="Garamond" w:cs="Times New Roman"/>
          <w:color w:val="202020"/>
          <w:sz w:val="24"/>
          <w:szCs w:val="24"/>
          <w:lang w:val="en-US"/>
        </w:rPr>
        <w:t>probabilistic sampling method was used. Thus, representativeness of the sample cannot be taken for granted. Use of self-report scales did not allow for diagnoses of anxiety disorders, depression, or PTSD</w:t>
      </w:r>
      <w:r w:rsidR="00E06240" w:rsidRPr="00443F82">
        <w:rPr>
          <w:rFonts w:ascii="Garamond" w:eastAsia="Times New Roman" w:hAnsi="Garamond" w:cs="Times New Roman"/>
          <w:color w:val="202020"/>
          <w:sz w:val="24"/>
          <w:szCs w:val="24"/>
          <w:lang w:val="en-US"/>
        </w:rPr>
        <w:t xml:space="preserve">. </w:t>
      </w:r>
      <w:r w:rsidR="00E06240" w:rsidRPr="00443F82">
        <w:rPr>
          <w:rFonts w:ascii="Garamond" w:hAnsi="Garamond"/>
          <w:color w:val="202020"/>
          <w:sz w:val="24"/>
          <w:szCs w:val="24"/>
        </w:rPr>
        <w:t xml:space="preserve">In this study, the multiple- role engagement for a woman (as taking care of children, managing the house and work roles) was not </w:t>
      </w:r>
      <w:proofErr w:type="gramStart"/>
      <w:r w:rsidR="00E06240" w:rsidRPr="00443F82">
        <w:rPr>
          <w:rFonts w:ascii="Garamond" w:hAnsi="Garamond"/>
          <w:color w:val="202020"/>
          <w:sz w:val="24"/>
          <w:szCs w:val="24"/>
        </w:rPr>
        <w:t>taken into account</w:t>
      </w:r>
      <w:proofErr w:type="gramEnd"/>
      <w:r w:rsidR="00E06240" w:rsidRPr="00443F82">
        <w:rPr>
          <w:rFonts w:ascii="Garamond" w:hAnsi="Garamond"/>
          <w:color w:val="202020"/>
          <w:sz w:val="24"/>
          <w:szCs w:val="24"/>
        </w:rPr>
        <w:t xml:space="preserve"> as variable. For a woman the conciliation between family and career could be a relevant aspect because this condition might influence women’s health status having an impact on psychological stress and quality of life (Sumra &amp; </w:t>
      </w:r>
      <w:proofErr w:type="spellStart"/>
      <w:r w:rsidR="00E06240" w:rsidRPr="00443F82">
        <w:rPr>
          <w:rFonts w:ascii="Garamond" w:hAnsi="Garamond"/>
          <w:color w:val="202020"/>
          <w:sz w:val="24"/>
          <w:szCs w:val="24"/>
        </w:rPr>
        <w:t>Schillaci</w:t>
      </w:r>
      <w:proofErr w:type="spellEnd"/>
      <w:r w:rsidR="00E06240" w:rsidRPr="00443F82">
        <w:rPr>
          <w:rFonts w:ascii="Garamond" w:hAnsi="Garamond"/>
          <w:color w:val="202020"/>
          <w:sz w:val="24"/>
          <w:szCs w:val="24"/>
        </w:rPr>
        <w:t xml:space="preserve">, 2015). </w:t>
      </w:r>
      <w:r w:rsidRPr="00443F82">
        <w:rPr>
          <w:rFonts w:ascii="Garamond" w:eastAsia="Times New Roman" w:hAnsi="Garamond" w:cs="Times New Roman"/>
          <w:color w:val="202020"/>
          <w:sz w:val="24"/>
          <w:szCs w:val="24"/>
          <w:lang w:val="en-US"/>
        </w:rPr>
        <w:t xml:space="preserve">It could be interesting for future studies to observe how these variables relate </w:t>
      </w:r>
      <w:proofErr w:type="gramStart"/>
      <w:r w:rsidRPr="00443F82">
        <w:rPr>
          <w:rFonts w:ascii="Garamond" w:eastAsia="Times New Roman" w:hAnsi="Garamond" w:cs="Times New Roman"/>
          <w:color w:val="202020"/>
          <w:sz w:val="24"/>
          <w:szCs w:val="24"/>
          <w:lang w:val="en-US"/>
        </w:rPr>
        <w:t>in order to</w:t>
      </w:r>
      <w:proofErr w:type="gramEnd"/>
      <w:r w:rsidRPr="00443F82">
        <w:rPr>
          <w:rFonts w:ascii="Garamond" w:eastAsia="Times New Roman" w:hAnsi="Garamond" w:cs="Times New Roman"/>
          <w:color w:val="202020"/>
          <w:sz w:val="24"/>
          <w:szCs w:val="24"/>
          <w:lang w:val="en-US"/>
        </w:rPr>
        <w:t xml:space="preserve"> better understand female vulnerability. Finally, future studies could be expanded to include more outpatient clinics that provide follow-up care for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-19 patients. Our study also has some strengths. A wide body of literature carried out studies on the impact of COVID-19 on general population, on healthcare workers and on patients, including at longitudinal time points. Although it is a preliminary study, to our knowledge, our study involved a specific target of patients recovered from COVID-19 and attending an outpatient clinic dedicated to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 xml:space="preserve">-19 follow-up. As a novelty, this study gives us a deeper understanding of the psychological </w:t>
      </w:r>
      <w:proofErr w:type="gramStart"/>
      <w:r w:rsidRPr="00443F82">
        <w:rPr>
          <w:rFonts w:ascii="Garamond" w:eastAsia="Times New Roman" w:hAnsi="Garamond" w:cs="Times New Roman"/>
          <w:color w:val="202020"/>
          <w:sz w:val="24"/>
          <w:szCs w:val="24"/>
          <w:lang w:val="en-US"/>
        </w:rPr>
        <w:t>Post-COVID</w:t>
      </w:r>
      <w:proofErr w:type="gramEnd"/>
      <w:r w:rsidRPr="00443F82">
        <w:rPr>
          <w:rFonts w:ascii="Garamond" w:eastAsia="Times New Roman" w:hAnsi="Garamond" w:cs="Times New Roman"/>
          <w:color w:val="202020"/>
          <w:sz w:val="24"/>
          <w:szCs w:val="24"/>
          <w:lang w:val="en-US"/>
        </w:rPr>
        <w:t>-19 profile in a clinical sample of pneumological outpatients. Moreover, it focused on gender differences identifying the female gender as a risk factor with respect to psychological illness.</w:t>
      </w:r>
    </w:p>
    <w:p w14:paraId="72098253" w14:textId="77777777" w:rsidR="00EA5EC0"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69AB23C7" w14:textId="543E387A" w:rsidR="009E3ED0" w:rsidRPr="00443F82" w:rsidRDefault="009E3ED0" w:rsidP="00443F82">
      <w:pPr>
        <w:spacing w:line="360" w:lineRule="auto"/>
        <w:jc w:val="both"/>
        <w:rPr>
          <w:rFonts w:ascii="Garamond" w:eastAsia="Times New Roman" w:hAnsi="Garamond" w:cs="Times New Roman"/>
          <w:color w:val="202020"/>
          <w:sz w:val="24"/>
          <w:szCs w:val="24"/>
          <w:lang w:val="en-US"/>
        </w:rPr>
      </w:pPr>
      <w:r w:rsidRPr="00443F82">
        <w:rPr>
          <w:rFonts w:ascii="Garamond" w:hAnsi="Garamond"/>
          <w:b/>
          <w:bCs/>
          <w:sz w:val="24"/>
          <w:szCs w:val="24"/>
        </w:rPr>
        <w:t xml:space="preserve">Ethical approval: </w:t>
      </w:r>
      <w:r w:rsidRPr="00443F82">
        <w:rPr>
          <w:rFonts w:ascii="Garamond" w:eastAsia="Times New Roman" w:hAnsi="Garamond" w:cs="Times New Roman"/>
          <w:color w:val="202020"/>
          <w:sz w:val="24"/>
          <w:szCs w:val="24"/>
          <w:lang w:val="en-US"/>
        </w:rPr>
        <w:t>The ethical committee of University Hospitals approved the general study protocol (n. 145/CE/2020). The study was conducted following the Helsinki Declaration.</w:t>
      </w:r>
    </w:p>
    <w:p w14:paraId="65888659" w14:textId="77777777" w:rsidR="009E3ED0" w:rsidRPr="00443F82" w:rsidRDefault="009E3ED0" w:rsidP="00443F82">
      <w:pPr>
        <w:spacing w:line="360" w:lineRule="auto"/>
        <w:rPr>
          <w:rFonts w:ascii="Garamond" w:hAnsi="Garamond"/>
          <w:b/>
          <w:bCs/>
          <w:sz w:val="24"/>
          <w:szCs w:val="24"/>
        </w:rPr>
      </w:pPr>
    </w:p>
    <w:p w14:paraId="4196E43E"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lastRenderedPageBreak/>
        <w:t>Informed Consent Statement:</w:t>
      </w:r>
      <w:r w:rsidRPr="00443F82">
        <w:rPr>
          <w:rFonts w:ascii="Garamond" w:hAnsi="Garamond"/>
          <w:sz w:val="24"/>
          <w:szCs w:val="24"/>
        </w:rPr>
        <w:t xml:space="preserve"> Informed consent was obtained from all subjects involved in the study.</w:t>
      </w:r>
    </w:p>
    <w:p w14:paraId="54BEE52E" w14:textId="77777777" w:rsidR="009E3ED0" w:rsidRPr="00443F82" w:rsidRDefault="009E3ED0" w:rsidP="00443F82">
      <w:pPr>
        <w:spacing w:line="360" w:lineRule="auto"/>
        <w:rPr>
          <w:rFonts w:ascii="Garamond" w:hAnsi="Garamond"/>
          <w:b/>
          <w:bCs/>
          <w:sz w:val="24"/>
          <w:szCs w:val="24"/>
        </w:rPr>
      </w:pPr>
    </w:p>
    <w:p w14:paraId="3A6AFA91"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Data Availability Statement: </w:t>
      </w:r>
      <w:r w:rsidRPr="00443F82">
        <w:rPr>
          <w:rFonts w:ascii="Garamond" w:hAnsi="Garamond"/>
          <w:sz w:val="24"/>
          <w:szCs w:val="24"/>
        </w:rPr>
        <w:t>The datasets generated and used and/or analysed in the study are available from the corresponding author on reasonable request and with permission of researchers of the study</w:t>
      </w:r>
    </w:p>
    <w:p w14:paraId="351B52E2" w14:textId="77777777" w:rsidR="009E3ED0" w:rsidRPr="00443F82" w:rsidRDefault="009E3ED0" w:rsidP="00443F82">
      <w:pPr>
        <w:spacing w:line="360" w:lineRule="auto"/>
        <w:rPr>
          <w:rFonts w:ascii="Garamond" w:hAnsi="Garamond"/>
          <w:b/>
          <w:bCs/>
          <w:sz w:val="24"/>
          <w:szCs w:val="24"/>
        </w:rPr>
      </w:pPr>
    </w:p>
    <w:p w14:paraId="74478981" w14:textId="4112C840"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Conflict of interest statement: </w:t>
      </w:r>
      <w:r w:rsidRPr="00443F82">
        <w:rPr>
          <w:rFonts w:ascii="Garamond" w:hAnsi="Garamond"/>
          <w:sz w:val="24"/>
          <w:szCs w:val="24"/>
        </w:rPr>
        <w:t>The authors declare that the research was conducted in the absence of any potential conflict of interest.</w:t>
      </w:r>
    </w:p>
    <w:p w14:paraId="08991DE3" w14:textId="77777777" w:rsidR="009E3ED0" w:rsidRPr="00443F82" w:rsidRDefault="009E3ED0" w:rsidP="00443F82">
      <w:pPr>
        <w:spacing w:line="360" w:lineRule="auto"/>
        <w:rPr>
          <w:rFonts w:ascii="Garamond" w:hAnsi="Garamond"/>
          <w:sz w:val="24"/>
          <w:szCs w:val="24"/>
        </w:rPr>
      </w:pPr>
    </w:p>
    <w:p w14:paraId="6F1CD540" w14:textId="1802C2D1" w:rsidR="009E3ED0" w:rsidRPr="00443F82" w:rsidRDefault="009E3ED0"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Acknowledgements</w:t>
      </w:r>
    </w:p>
    <w:p w14:paraId="402DDB15" w14:textId="77777777" w:rsidR="009E3ED0" w:rsidRPr="00443F82" w:rsidRDefault="009E3ED0"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We are grateful to Amico </w:t>
      </w:r>
      <w:proofErr w:type="spellStart"/>
      <w:r w:rsidRPr="00443F82">
        <w:rPr>
          <w:rFonts w:ascii="Garamond" w:eastAsia="Times New Roman" w:hAnsi="Garamond" w:cs="Times New Roman"/>
          <w:color w:val="202020"/>
          <w:sz w:val="24"/>
          <w:szCs w:val="24"/>
          <w:lang w:val="en-US"/>
        </w:rPr>
        <w:t>Graziella</w:t>
      </w:r>
      <w:proofErr w:type="spellEnd"/>
      <w:r w:rsidRPr="00443F82">
        <w:rPr>
          <w:rFonts w:ascii="Garamond" w:eastAsia="Times New Roman" w:hAnsi="Garamond" w:cs="Times New Roman"/>
          <w:color w:val="202020"/>
          <w:sz w:val="24"/>
          <w:szCs w:val="24"/>
          <w:lang w:val="en-US"/>
        </w:rPr>
        <w:t xml:space="preserve">, </w:t>
      </w:r>
      <w:proofErr w:type="spellStart"/>
      <w:r w:rsidRPr="00443F82">
        <w:rPr>
          <w:rFonts w:ascii="Garamond" w:eastAsia="Times New Roman" w:hAnsi="Garamond" w:cs="Times New Roman"/>
          <w:color w:val="202020"/>
          <w:sz w:val="24"/>
          <w:szCs w:val="24"/>
          <w:lang w:val="en-US"/>
        </w:rPr>
        <w:t>Berardino</w:t>
      </w:r>
      <w:proofErr w:type="spellEnd"/>
      <w:r w:rsidRPr="00443F82">
        <w:rPr>
          <w:rFonts w:ascii="Garamond" w:eastAsia="Times New Roman" w:hAnsi="Garamond" w:cs="Times New Roman"/>
          <w:color w:val="202020"/>
          <w:sz w:val="24"/>
          <w:szCs w:val="24"/>
          <w:lang w:val="en-US"/>
        </w:rPr>
        <w:t xml:space="preserve"> Linda, Blasi Laura, </w:t>
      </w:r>
      <w:proofErr w:type="spellStart"/>
      <w:r w:rsidRPr="00443F82">
        <w:rPr>
          <w:rFonts w:ascii="Garamond" w:eastAsia="Times New Roman" w:hAnsi="Garamond" w:cs="Times New Roman"/>
          <w:color w:val="202020"/>
          <w:sz w:val="24"/>
          <w:szCs w:val="24"/>
          <w:lang w:val="en-US"/>
        </w:rPr>
        <w:t>Leccese</w:t>
      </w:r>
      <w:proofErr w:type="spellEnd"/>
      <w:r w:rsidRPr="00443F82">
        <w:rPr>
          <w:rFonts w:ascii="Garamond" w:eastAsia="Times New Roman" w:hAnsi="Garamond" w:cs="Times New Roman"/>
          <w:color w:val="202020"/>
          <w:sz w:val="24"/>
          <w:szCs w:val="24"/>
          <w:lang w:val="en-US"/>
        </w:rPr>
        <w:t xml:space="preserve"> Adriana, </w:t>
      </w:r>
      <w:proofErr w:type="spellStart"/>
      <w:r w:rsidRPr="00443F82">
        <w:rPr>
          <w:rFonts w:ascii="Garamond" w:eastAsia="Times New Roman" w:hAnsi="Garamond" w:cs="Times New Roman"/>
          <w:color w:val="202020"/>
          <w:sz w:val="24"/>
          <w:szCs w:val="24"/>
          <w:lang w:val="en-US"/>
        </w:rPr>
        <w:t>Lutricuso</w:t>
      </w:r>
      <w:proofErr w:type="spellEnd"/>
      <w:r w:rsidRPr="00443F82">
        <w:rPr>
          <w:rFonts w:ascii="Garamond" w:eastAsia="Times New Roman" w:hAnsi="Garamond" w:cs="Times New Roman"/>
          <w:color w:val="202020"/>
          <w:sz w:val="24"/>
          <w:szCs w:val="24"/>
          <w:lang w:val="en-US"/>
        </w:rPr>
        <w:t xml:space="preserve"> Sara, </w:t>
      </w:r>
      <w:proofErr w:type="spellStart"/>
      <w:r w:rsidRPr="00443F82">
        <w:rPr>
          <w:rFonts w:ascii="Garamond" w:eastAsia="Times New Roman" w:hAnsi="Garamond" w:cs="Times New Roman"/>
          <w:color w:val="202020"/>
          <w:sz w:val="24"/>
          <w:szCs w:val="24"/>
          <w:lang w:val="en-US"/>
        </w:rPr>
        <w:t>Martucci</w:t>
      </w:r>
      <w:proofErr w:type="spellEnd"/>
      <w:r w:rsidRPr="00443F82">
        <w:rPr>
          <w:rFonts w:ascii="Garamond" w:eastAsia="Times New Roman" w:hAnsi="Garamond" w:cs="Times New Roman"/>
          <w:color w:val="202020"/>
          <w:sz w:val="24"/>
          <w:szCs w:val="24"/>
          <w:lang w:val="en-US"/>
        </w:rPr>
        <w:t xml:space="preserve"> Daniela, </w:t>
      </w:r>
      <w:proofErr w:type="spellStart"/>
      <w:r w:rsidRPr="00443F82">
        <w:rPr>
          <w:rFonts w:ascii="Garamond" w:eastAsia="Times New Roman" w:hAnsi="Garamond" w:cs="Times New Roman"/>
          <w:color w:val="202020"/>
          <w:sz w:val="24"/>
          <w:szCs w:val="24"/>
          <w:lang w:val="en-US"/>
        </w:rPr>
        <w:t>Mirgaldi</w:t>
      </w:r>
      <w:proofErr w:type="spellEnd"/>
      <w:r w:rsidRPr="00443F82">
        <w:rPr>
          <w:rFonts w:ascii="Garamond" w:eastAsia="Times New Roman" w:hAnsi="Garamond" w:cs="Times New Roman"/>
          <w:color w:val="202020"/>
          <w:sz w:val="24"/>
          <w:szCs w:val="24"/>
          <w:lang w:val="en-US"/>
        </w:rPr>
        <w:t xml:space="preserve"> Rosita, </w:t>
      </w:r>
      <w:proofErr w:type="spellStart"/>
      <w:r w:rsidRPr="00443F82">
        <w:rPr>
          <w:rFonts w:ascii="Garamond" w:eastAsia="Times New Roman" w:hAnsi="Garamond" w:cs="Times New Roman"/>
          <w:color w:val="202020"/>
          <w:sz w:val="24"/>
          <w:szCs w:val="24"/>
          <w:lang w:val="en-US"/>
        </w:rPr>
        <w:t>Paparusso</w:t>
      </w:r>
      <w:proofErr w:type="spellEnd"/>
      <w:r w:rsidRPr="00443F82">
        <w:rPr>
          <w:rFonts w:ascii="Garamond" w:eastAsia="Times New Roman" w:hAnsi="Garamond" w:cs="Times New Roman"/>
          <w:color w:val="202020"/>
          <w:sz w:val="24"/>
          <w:szCs w:val="24"/>
          <w:lang w:val="en-US"/>
        </w:rPr>
        <w:t xml:space="preserve"> Silvia, </w:t>
      </w:r>
      <w:proofErr w:type="spellStart"/>
      <w:r w:rsidRPr="00443F82">
        <w:rPr>
          <w:rFonts w:ascii="Garamond" w:eastAsia="Times New Roman" w:hAnsi="Garamond" w:cs="Times New Roman"/>
          <w:color w:val="202020"/>
          <w:sz w:val="24"/>
          <w:szCs w:val="24"/>
          <w:lang w:val="en-US"/>
        </w:rPr>
        <w:t>Pierro</w:t>
      </w:r>
      <w:proofErr w:type="spellEnd"/>
      <w:r w:rsidRPr="00443F82">
        <w:rPr>
          <w:rFonts w:ascii="Garamond" w:eastAsia="Times New Roman" w:hAnsi="Garamond" w:cs="Times New Roman"/>
          <w:color w:val="202020"/>
          <w:sz w:val="24"/>
          <w:szCs w:val="24"/>
          <w:lang w:val="en-US"/>
        </w:rPr>
        <w:t xml:space="preserve"> Letizia, Sergio Teresa and Ilaria </w:t>
      </w:r>
      <w:proofErr w:type="spellStart"/>
      <w:r w:rsidRPr="00443F82">
        <w:rPr>
          <w:rFonts w:ascii="Garamond" w:eastAsia="Times New Roman" w:hAnsi="Garamond" w:cs="Times New Roman"/>
          <w:color w:val="202020"/>
          <w:sz w:val="24"/>
          <w:szCs w:val="24"/>
          <w:lang w:val="en-US"/>
        </w:rPr>
        <w:t>Iorillo</w:t>
      </w:r>
      <w:proofErr w:type="spellEnd"/>
      <w:r w:rsidRPr="00443F82">
        <w:rPr>
          <w:rFonts w:ascii="Garamond" w:eastAsia="Times New Roman" w:hAnsi="Garamond" w:cs="Times New Roman"/>
          <w:color w:val="202020"/>
          <w:sz w:val="24"/>
          <w:szCs w:val="24"/>
          <w:lang w:val="en-US"/>
        </w:rPr>
        <w:t xml:space="preserve"> who participated in the enrollment of outpatients, enabling us to write this publication.</w:t>
      </w:r>
    </w:p>
    <w:p w14:paraId="77731F28" w14:textId="77777777" w:rsidR="009E3ED0" w:rsidRPr="00443F82" w:rsidRDefault="009E3ED0" w:rsidP="00443F82">
      <w:pPr>
        <w:spacing w:line="360" w:lineRule="auto"/>
        <w:rPr>
          <w:rFonts w:ascii="Garamond" w:hAnsi="Garamond"/>
          <w:b/>
          <w:bCs/>
          <w:sz w:val="24"/>
          <w:szCs w:val="24"/>
          <w:lang w:val="en-US"/>
        </w:rPr>
      </w:pPr>
    </w:p>
    <w:p w14:paraId="167F4722"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Author Contributions: </w:t>
      </w:r>
      <w:r w:rsidRPr="00443F82">
        <w:rPr>
          <w:rFonts w:ascii="Garamond" w:hAnsi="Garamond"/>
          <w:sz w:val="24"/>
          <w:szCs w:val="24"/>
        </w:rPr>
        <w:t>M.F.B., A.P. and F.M. conceptualized the study. M.F.B., A.P., D.L. and E.C. coordinated data collection. A.L., M.S., E.R., M.A., S.F., G.S., P.P. and A.C. conducted the test administration, S.I. analysed and interpreted the data. M.F.B., A.P. A.L., M.S., E.R. and M.A. drafted the manuscript. All authors have contributed to the drafting or been involved in revising it. All authors read and approved the final manuscript.</w:t>
      </w:r>
    </w:p>
    <w:p w14:paraId="3466C139" w14:textId="77777777" w:rsidR="00D50C4A" w:rsidRPr="00443F82" w:rsidRDefault="00D50C4A" w:rsidP="00443F82">
      <w:pPr>
        <w:spacing w:line="360" w:lineRule="auto"/>
        <w:jc w:val="both"/>
        <w:rPr>
          <w:rFonts w:ascii="Garamond" w:eastAsia="Times New Roman" w:hAnsi="Garamond" w:cs="Times New Roman"/>
          <w:b/>
          <w:color w:val="202020"/>
          <w:sz w:val="24"/>
          <w:szCs w:val="24"/>
          <w:highlight w:val="white"/>
          <w:lang w:val="en-US"/>
        </w:rPr>
      </w:pPr>
      <w:r w:rsidRPr="00443F82">
        <w:rPr>
          <w:rFonts w:ascii="Garamond" w:eastAsia="Times New Roman" w:hAnsi="Garamond" w:cs="Times New Roman"/>
          <w:b/>
          <w:color w:val="202020"/>
          <w:sz w:val="24"/>
          <w:szCs w:val="24"/>
          <w:highlight w:val="white"/>
          <w:lang w:val="en-US"/>
        </w:rPr>
        <w:t xml:space="preserve">References </w:t>
      </w:r>
    </w:p>
    <w:p w14:paraId="470DF1A0" w14:textId="3E6F416C"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Ahmed, H., Patel, K., Greenwood, D. C., Halpin, S., Lewthwaite, P., </w:t>
      </w:r>
      <w:proofErr w:type="spellStart"/>
      <w:r w:rsidRPr="00874A99">
        <w:rPr>
          <w:rFonts w:ascii="Garamond" w:eastAsia="Roboto" w:hAnsi="Garamond" w:cs="Roboto"/>
          <w:color w:val="212121"/>
          <w:sz w:val="24"/>
          <w:szCs w:val="24"/>
          <w:lang w:val="en-US"/>
        </w:rPr>
        <w:t>Salawu</w:t>
      </w:r>
      <w:proofErr w:type="spellEnd"/>
      <w:r w:rsidRPr="00874A99">
        <w:rPr>
          <w:rFonts w:ascii="Garamond" w:eastAsia="Roboto" w:hAnsi="Garamond" w:cs="Roboto"/>
          <w:color w:val="212121"/>
          <w:sz w:val="24"/>
          <w:szCs w:val="24"/>
          <w:lang w:val="en-US"/>
        </w:rPr>
        <w:t xml:space="preserve">, A., Eyre, L., Breen, A., O'Connor, R., Jones, A., &amp; Sivan, M. (2020). Long-term clinical outcomes in survivors of severe acute respiratory syndrome and Middle East respiratory syndrome coronavirus outbreaks after </w:t>
      </w:r>
      <w:proofErr w:type="spellStart"/>
      <w:r w:rsidRPr="00874A99">
        <w:rPr>
          <w:rFonts w:ascii="Garamond" w:eastAsia="Roboto" w:hAnsi="Garamond" w:cs="Roboto"/>
          <w:color w:val="212121"/>
          <w:sz w:val="24"/>
          <w:szCs w:val="24"/>
          <w:lang w:val="en-US"/>
        </w:rPr>
        <w:t>hospitalisation</w:t>
      </w:r>
      <w:proofErr w:type="spellEnd"/>
      <w:r w:rsidRPr="00874A99">
        <w:rPr>
          <w:rFonts w:ascii="Garamond" w:eastAsia="Roboto" w:hAnsi="Garamond" w:cs="Roboto"/>
          <w:color w:val="212121"/>
          <w:sz w:val="24"/>
          <w:szCs w:val="24"/>
          <w:lang w:val="en-US"/>
        </w:rPr>
        <w:t xml:space="preserve"> or ICU admission: A systematic review and meta-analysis. Journal of rehabilitation medicine, 52(5), jrm00063. </w:t>
      </w:r>
      <w:hyperlink r:id="rId8" w:history="1">
        <w:r w:rsidRPr="00874A99">
          <w:rPr>
            <w:rStyle w:val="Collegamentoipertestuale"/>
            <w:rFonts w:ascii="Garamond" w:eastAsia="Roboto" w:hAnsi="Garamond" w:cs="Roboto"/>
            <w:sz w:val="24"/>
            <w:szCs w:val="24"/>
            <w:lang w:val="en-US"/>
          </w:rPr>
          <w:t>https://doi.org/10.2340/16501977-2694</w:t>
        </w:r>
      </w:hyperlink>
    </w:p>
    <w:p w14:paraId="119B7F2C" w14:textId="0D59BF56" w:rsidR="00443F82" w:rsidRPr="00EA5EC0" w:rsidRDefault="00443F82" w:rsidP="00874A99">
      <w:pPr>
        <w:spacing w:line="360" w:lineRule="auto"/>
        <w:rPr>
          <w:rFonts w:ascii="Garamond" w:eastAsia="Roboto" w:hAnsi="Garamond" w:cs="Roboto"/>
          <w:color w:val="212121"/>
          <w:sz w:val="24"/>
          <w:szCs w:val="24"/>
          <w:lang w:val="it-IT"/>
        </w:rPr>
      </w:pPr>
      <w:proofErr w:type="spellStart"/>
      <w:r w:rsidRPr="00874A99">
        <w:rPr>
          <w:rFonts w:ascii="Garamond" w:eastAsia="Roboto" w:hAnsi="Garamond" w:cs="Roboto"/>
          <w:color w:val="212121"/>
          <w:sz w:val="24"/>
          <w:szCs w:val="24"/>
          <w:lang w:val="en-US"/>
        </w:rPr>
        <w:t>Amdal</w:t>
      </w:r>
      <w:proofErr w:type="spellEnd"/>
      <w:r w:rsidRPr="00874A99">
        <w:rPr>
          <w:rFonts w:ascii="Garamond" w:eastAsia="Roboto" w:hAnsi="Garamond" w:cs="Roboto"/>
          <w:color w:val="212121"/>
          <w:sz w:val="24"/>
          <w:szCs w:val="24"/>
          <w:lang w:val="en-US"/>
        </w:rPr>
        <w:t xml:space="preserve">, C. D., Pe, M., Falk, R. S., </w:t>
      </w:r>
      <w:proofErr w:type="spellStart"/>
      <w:r w:rsidRPr="00874A99">
        <w:rPr>
          <w:rFonts w:ascii="Garamond" w:eastAsia="Roboto" w:hAnsi="Garamond" w:cs="Roboto"/>
          <w:color w:val="212121"/>
          <w:sz w:val="24"/>
          <w:szCs w:val="24"/>
          <w:lang w:val="en-US"/>
        </w:rPr>
        <w:t>Piccinin</w:t>
      </w:r>
      <w:proofErr w:type="spellEnd"/>
      <w:r w:rsidRPr="00874A99">
        <w:rPr>
          <w:rFonts w:ascii="Garamond" w:eastAsia="Roboto" w:hAnsi="Garamond" w:cs="Roboto"/>
          <w:color w:val="212121"/>
          <w:sz w:val="24"/>
          <w:szCs w:val="24"/>
          <w:lang w:val="en-US"/>
        </w:rPr>
        <w:t xml:space="preserve">, C., Bottomley, A., </w:t>
      </w:r>
      <w:proofErr w:type="spellStart"/>
      <w:r w:rsidRPr="00874A99">
        <w:rPr>
          <w:rFonts w:ascii="Garamond" w:eastAsia="Roboto" w:hAnsi="Garamond" w:cs="Roboto"/>
          <w:color w:val="212121"/>
          <w:sz w:val="24"/>
          <w:szCs w:val="24"/>
          <w:lang w:val="en-US"/>
        </w:rPr>
        <w:t>Arraras</w:t>
      </w:r>
      <w:proofErr w:type="spellEnd"/>
      <w:r w:rsidRPr="00874A99">
        <w:rPr>
          <w:rFonts w:ascii="Garamond" w:eastAsia="Roboto" w:hAnsi="Garamond" w:cs="Roboto"/>
          <w:color w:val="212121"/>
          <w:sz w:val="24"/>
          <w:szCs w:val="24"/>
          <w:lang w:val="en-US"/>
        </w:rPr>
        <w:t xml:space="preserve">, J. I., Darlington, A. S., </w:t>
      </w:r>
      <w:proofErr w:type="spellStart"/>
      <w:r w:rsidRPr="00874A99">
        <w:rPr>
          <w:rFonts w:ascii="Garamond" w:eastAsia="Roboto" w:hAnsi="Garamond" w:cs="Roboto"/>
          <w:color w:val="212121"/>
          <w:sz w:val="24"/>
          <w:szCs w:val="24"/>
          <w:lang w:val="en-US"/>
        </w:rPr>
        <w:t>Hofsø</w:t>
      </w:r>
      <w:proofErr w:type="spellEnd"/>
      <w:r w:rsidRPr="00874A99">
        <w:rPr>
          <w:rFonts w:ascii="Garamond" w:eastAsia="Roboto" w:hAnsi="Garamond" w:cs="Roboto"/>
          <w:color w:val="212121"/>
          <w:sz w:val="24"/>
          <w:szCs w:val="24"/>
          <w:lang w:val="en-US"/>
        </w:rPr>
        <w:t xml:space="preserve">, K., </w:t>
      </w:r>
      <w:proofErr w:type="spellStart"/>
      <w:r w:rsidRPr="00874A99">
        <w:rPr>
          <w:rFonts w:ascii="Garamond" w:eastAsia="Roboto" w:hAnsi="Garamond" w:cs="Roboto"/>
          <w:color w:val="212121"/>
          <w:sz w:val="24"/>
          <w:szCs w:val="24"/>
          <w:lang w:val="en-US"/>
        </w:rPr>
        <w:t>Holzner</w:t>
      </w:r>
      <w:proofErr w:type="spellEnd"/>
      <w:r w:rsidRPr="00874A99">
        <w:rPr>
          <w:rFonts w:ascii="Garamond" w:eastAsia="Roboto" w:hAnsi="Garamond" w:cs="Roboto"/>
          <w:color w:val="212121"/>
          <w:sz w:val="24"/>
          <w:szCs w:val="24"/>
          <w:lang w:val="en-US"/>
        </w:rPr>
        <w:t xml:space="preserve">, B., </w:t>
      </w:r>
      <w:proofErr w:type="spellStart"/>
      <w:r w:rsidRPr="00874A99">
        <w:rPr>
          <w:rFonts w:ascii="Garamond" w:eastAsia="Roboto" w:hAnsi="Garamond" w:cs="Roboto"/>
          <w:color w:val="212121"/>
          <w:sz w:val="24"/>
          <w:szCs w:val="24"/>
          <w:lang w:val="en-US"/>
        </w:rPr>
        <w:t>Jørgensen</w:t>
      </w:r>
      <w:proofErr w:type="spellEnd"/>
      <w:r w:rsidRPr="00874A99">
        <w:rPr>
          <w:rFonts w:ascii="Garamond" w:eastAsia="Roboto" w:hAnsi="Garamond" w:cs="Roboto"/>
          <w:color w:val="212121"/>
          <w:sz w:val="24"/>
          <w:szCs w:val="24"/>
          <w:lang w:val="en-US"/>
        </w:rPr>
        <w:t xml:space="preserve">, N. M. H., </w:t>
      </w:r>
      <w:proofErr w:type="spellStart"/>
      <w:r w:rsidRPr="00874A99">
        <w:rPr>
          <w:rFonts w:ascii="Garamond" w:eastAsia="Roboto" w:hAnsi="Garamond" w:cs="Roboto"/>
          <w:color w:val="212121"/>
          <w:sz w:val="24"/>
          <w:szCs w:val="24"/>
          <w:lang w:val="en-US"/>
        </w:rPr>
        <w:t>Kulis</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Rimehaug</w:t>
      </w:r>
      <w:proofErr w:type="spellEnd"/>
      <w:r w:rsidRPr="00874A99">
        <w:rPr>
          <w:rFonts w:ascii="Garamond" w:eastAsia="Roboto" w:hAnsi="Garamond" w:cs="Roboto"/>
          <w:color w:val="212121"/>
          <w:sz w:val="24"/>
          <w:szCs w:val="24"/>
          <w:lang w:val="en-US"/>
        </w:rPr>
        <w:t xml:space="preserve">, S. A., Singer, S., Taylor, K., Wheelwright, S., &amp; </w:t>
      </w:r>
      <w:proofErr w:type="spellStart"/>
      <w:r w:rsidRPr="00874A99">
        <w:rPr>
          <w:rFonts w:ascii="Garamond" w:eastAsia="Roboto" w:hAnsi="Garamond" w:cs="Roboto"/>
          <w:color w:val="212121"/>
          <w:sz w:val="24"/>
          <w:szCs w:val="24"/>
          <w:lang w:val="en-US"/>
        </w:rPr>
        <w:t>Bjordal</w:t>
      </w:r>
      <w:proofErr w:type="spellEnd"/>
      <w:r w:rsidRPr="00874A99">
        <w:rPr>
          <w:rFonts w:ascii="Garamond" w:eastAsia="Roboto" w:hAnsi="Garamond" w:cs="Roboto"/>
          <w:color w:val="212121"/>
          <w:sz w:val="24"/>
          <w:szCs w:val="24"/>
          <w:lang w:val="en-US"/>
        </w:rPr>
        <w:t xml:space="preserve">, K. (2021). Health-related quality of life issues, including symptoms, in patients with active </w:t>
      </w:r>
      <w:r w:rsidRPr="00874A99">
        <w:rPr>
          <w:rFonts w:ascii="Garamond" w:eastAsia="Roboto" w:hAnsi="Garamond" w:cs="Roboto"/>
          <w:color w:val="212121"/>
          <w:sz w:val="24"/>
          <w:szCs w:val="24"/>
          <w:lang w:val="en-US"/>
        </w:rPr>
        <w:lastRenderedPageBreak/>
        <w:t xml:space="preserve">COVID-19 or post COVID-19; a systematic literature review. Quality of life </w:t>
      </w:r>
      <w:proofErr w:type="gramStart"/>
      <w:r w:rsidRPr="00874A99">
        <w:rPr>
          <w:rFonts w:ascii="Garamond" w:eastAsia="Roboto" w:hAnsi="Garamond" w:cs="Roboto"/>
          <w:color w:val="212121"/>
          <w:sz w:val="24"/>
          <w:szCs w:val="24"/>
          <w:lang w:val="en-US"/>
        </w:rPr>
        <w:t>research :</w:t>
      </w:r>
      <w:proofErr w:type="gramEnd"/>
      <w:r w:rsidRPr="00874A99">
        <w:rPr>
          <w:rFonts w:ascii="Garamond" w:eastAsia="Roboto" w:hAnsi="Garamond" w:cs="Roboto"/>
          <w:color w:val="212121"/>
          <w:sz w:val="24"/>
          <w:szCs w:val="24"/>
          <w:lang w:val="en-US"/>
        </w:rPr>
        <w:t xml:space="preserve"> an international journal of quality of life aspects of treatment, care and rehabilitation, 30(12), 3367–3381. </w:t>
      </w:r>
      <w:hyperlink r:id="rId9" w:history="1">
        <w:r w:rsidRPr="00874A99">
          <w:rPr>
            <w:rStyle w:val="Collegamentoipertestuale"/>
            <w:rFonts w:ascii="Garamond" w:eastAsia="Roboto" w:hAnsi="Garamond" w:cs="Roboto"/>
            <w:sz w:val="24"/>
            <w:szCs w:val="24"/>
            <w:lang w:val="it-IT"/>
          </w:rPr>
          <w:t>https://doi.org/10.1007/s11136-021-02908-z</w:t>
        </w:r>
      </w:hyperlink>
    </w:p>
    <w:p w14:paraId="7036629E" w14:textId="3451F4B3" w:rsidR="00443F82" w:rsidRPr="00C57903" w:rsidRDefault="00443F82"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Bai, F., Tomasoni, D., </w:t>
      </w:r>
      <w:proofErr w:type="spellStart"/>
      <w:r w:rsidRPr="00874A99">
        <w:rPr>
          <w:rFonts w:ascii="Garamond" w:eastAsia="Roboto" w:hAnsi="Garamond" w:cs="Roboto"/>
          <w:color w:val="212121"/>
          <w:sz w:val="24"/>
          <w:szCs w:val="24"/>
          <w:lang w:val="it-IT"/>
        </w:rPr>
        <w:t>Falcinella</w:t>
      </w:r>
      <w:proofErr w:type="spellEnd"/>
      <w:r w:rsidRPr="00874A99">
        <w:rPr>
          <w:rFonts w:ascii="Garamond" w:eastAsia="Roboto" w:hAnsi="Garamond" w:cs="Roboto"/>
          <w:color w:val="212121"/>
          <w:sz w:val="24"/>
          <w:szCs w:val="24"/>
          <w:lang w:val="it-IT"/>
        </w:rPr>
        <w:t xml:space="preserve">, C., </w:t>
      </w:r>
      <w:proofErr w:type="spellStart"/>
      <w:r w:rsidRPr="00874A99">
        <w:rPr>
          <w:rFonts w:ascii="Garamond" w:eastAsia="Roboto" w:hAnsi="Garamond" w:cs="Roboto"/>
          <w:color w:val="212121"/>
          <w:sz w:val="24"/>
          <w:szCs w:val="24"/>
          <w:lang w:val="it-IT"/>
        </w:rPr>
        <w:t>Barbanotti</w:t>
      </w:r>
      <w:proofErr w:type="spellEnd"/>
      <w:r w:rsidRPr="00874A99">
        <w:rPr>
          <w:rFonts w:ascii="Garamond" w:eastAsia="Roboto" w:hAnsi="Garamond" w:cs="Roboto"/>
          <w:color w:val="212121"/>
          <w:sz w:val="24"/>
          <w:szCs w:val="24"/>
          <w:lang w:val="it-IT"/>
        </w:rPr>
        <w:t xml:space="preserve">, D., Castoldi, R., Mulè, G., Augello, M., Mondatore, D., Allegrini, M., Cona, A., Tesoro, D., Tagliaferri, G., Viganò, O., Suardi, E., </w:t>
      </w:r>
      <w:proofErr w:type="spellStart"/>
      <w:r w:rsidRPr="00874A99">
        <w:rPr>
          <w:rFonts w:ascii="Garamond" w:eastAsia="Roboto" w:hAnsi="Garamond" w:cs="Roboto"/>
          <w:color w:val="212121"/>
          <w:sz w:val="24"/>
          <w:szCs w:val="24"/>
          <w:lang w:val="it-IT"/>
        </w:rPr>
        <w:t>Tincati</w:t>
      </w:r>
      <w:proofErr w:type="spellEnd"/>
      <w:r w:rsidRPr="00874A99">
        <w:rPr>
          <w:rFonts w:ascii="Garamond" w:eastAsia="Roboto" w:hAnsi="Garamond" w:cs="Roboto"/>
          <w:color w:val="212121"/>
          <w:sz w:val="24"/>
          <w:szCs w:val="24"/>
          <w:lang w:val="it-IT"/>
        </w:rPr>
        <w:t xml:space="preserve">, C., </w:t>
      </w:r>
      <w:proofErr w:type="spellStart"/>
      <w:r w:rsidRPr="00874A99">
        <w:rPr>
          <w:rFonts w:ascii="Garamond" w:eastAsia="Roboto" w:hAnsi="Garamond" w:cs="Roboto"/>
          <w:color w:val="212121"/>
          <w:sz w:val="24"/>
          <w:szCs w:val="24"/>
          <w:lang w:val="it-IT"/>
        </w:rPr>
        <w:t>Beringheli</w:t>
      </w:r>
      <w:proofErr w:type="spellEnd"/>
      <w:r w:rsidRPr="00874A99">
        <w:rPr>
          <w:rFonts w:ascii="Garamond" w:eastAsia="Roboto" w:hAnsi="Garamond" w:cs="Roboto"/>
          <w:color w:val="212121"/>
          <w:sz w:val="24"/>
          <w:szCs w:val="24"/>
          <w:lang w:val="it-IT"/>
        </w:rPr>
        <w:t xml:space="preserve">, T., Varisco, B., Battistini, C. L., Piscopo, K., Vegni, E., … </w:t>
      </w:r>
      <w:r w:rsidRPr="00EA5EC0">
        <w:rPr>
          <w:rFonts w:ascii="Garamond" w:eastAsia="Roboto" w:hAnsi="Garamond" w:cs="Roboto"/>
          <w:color w:val="212121"/>
          <w:sz w:val="24"/>
          <w:szCs w:val="24"/>
          <w:lang w:val="en-US"/>
        </w:rPr>
        <w:t xml:space="preserve">Monforte, A. D. (2022). </w:t>
      </w:r>
      <w:r w:rsidRPr="00874A99">
        <w:rPr>
          <w:rFonts w:ascii="Garamond" w:eastAsia="Roboto" w:hAnsi="Garamond" w:cs="Roboto"/>
          <w:color w:val="212121"/>
          <w:sz w:val="24"/>
          <w:szCs w:val="24"/>
          <w:lang w:val="en-US"/>
        </w:rPr>
        <w:t xml:space="preserve">Female gender is associated with long COVID syndrome: a prospective cohort study. Clinical microbiology and </w:t>
      </w:r>
      <w:proofErr w:type="gramStart"/>
      <w:r w:rsidRPr="00874A99">
        <w:rPr>
          <w:rFonts w:ascii="Garamond" w:eastAsia="Roboto" w:hAnsi="Garamond" w:cs="Roboto"/>
          <w:color w:val="212121"/>
          <w:sz w:val="24"/>
          <w:szCs w:val="24"/>
          <w:lang w:val="en-US"/>
        </w:rPr>
        <w:t>infection :</w:t>
      </w:r>
      <w:proofErr w:type="gramEnd"/>
      <w:r w:rsidRPr="00874A99">
        <w:rPr>
          <w:rFonts w:ascii="Garamond" w:eastAsia="Roboto" w:hAnsi="Garamond" w:cs="Roboto"/>
          <w:color w:val="212121"/>
          <w:sz w:val="24"/>
          <w:szCs w:val="24"/>
          <w:lang w:val="en-US"/>
        </w:rPr>
        <w:t xml:space="preserve"> the official publication of the European Society of Clinical Microbiology and Infectious Diseases, 28(4), 611.e9–611.e16. </w:t>
      </w:r>
      <w:hyperlink r:id="rId10" w:history="1">
        <w:r w:rsidRPr="00C57903">
          <w:rPr>
            <w:rStyle w:val="Collegamentoipertestuale"/>
            <w:rFonts w:ascii="Garamond" w:eastAsia="Roboto" w:hAnsi="Garamond" w:cs="Roboto"/>
            <w:sz w:val="24"/>
            <w:szCs w:val="24"/>
            <w:lang w:val="it-IT"/>
          </w:rPr>
          <w:t>https://doi.org/10.1016/j.cmi.2021.11.002</w:t>
        </w:r>
      </w:hyperlink>
      <w:r w:rsidRPr="00C57903">
        <w:rPr>
          <w:rFonts w:ascii="Garamond" w:eastAsia="Roboto" w:hAnsi="Garamond" w:cs="Roboto"/>
          <w:color w:val="212121"/>
          <w:sz w:val="24"/>
          <w:szCs w:val="24"/>
          <w:lang w:val="it-IT"/>
        </w:rPr>
        <w:t xml:space="preserve"> </w:t>
      </w:r>
    </w:p>
    <w:p w14:paraId="219815C0" w14:textId="48D05410"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Benassi, E., Vallone, M., </w:t>
      </w:r>
      <w:proofErr w:type="spellStart"/>
      <w:r w:rsidRPr="00874A99">
        <w:rPr>
          <w:rFonts w:ascii="Garamond" w:eastAsia="Roboto" w:hAnsi="Garamond" w:cs="Roboto"/>
          <w:color w:val="212121"/>
          <w:sz w:val="24"/>
          <w:szCs w:val="24"/>
          <w:lang w:val="it-IT"/>
        </w:rPr>
        <w:t>Camia</w:t>
      </w:r>
      <w:proofErr w:type="spellEnd"/>
      <w:r w:rsidRPr="00874A99">
        <w:rPr>
          <w:rFonts w:ascii="Garamond" w:eastAsia="Roboto" w:hAnsi="Garamond" w:cs="Roboto"/>
          <w:color w:val="212121"/>
          <w:sz w:val="24"/>
          <w:szCs w:val="24"/>
          <w:lang w:val="it-IT"/>
        </w:rPr>
        <w:t xml:space="preserve">, M., Scorza, M. (2020). </w:t>
      </w:r>
      <w:r w:rsidRPr="00874A99">
        <w:rPr>
          <w:rFonts w:ascii="Garamond" w:eastAsia="Roboto" w:hAnsi="Garamond" w:cs="Roboto"/>
          <w:color w:val="212121"/>
          <w:sz w:val="24"/>
          <w:szCs w:val="24"/>
          <w:lang w:val="en-US"/>
        </w:rPr>
        <w:t xml:space="preserve">Women during the Covid-19 lockdown: more anxiety symptoms in women with children than without children and role of the resilience. Mediterranean Journal of Clinical Psychology, 8(3). </w:t>
      </w:r>
      <w:hyperlink r:id="rId11" w:history="1">
        <w:r w:rsidRPr="00874A99">
          <w:rPr>
            <w:rStyle w:val="Collegamentoipertestuale"/>
            <w:rFonts w:ascii="Garamond" w:eastAsia="Roboto" w:hAnsi="Garamond" w:cs="Roboto"/>
            <w:sz w:val="24"/>
            <w:szCs w:val="24"/>
            <w:lang w:val="en-US"/>
          </w:rPr>
          <w:t>https://doi.org/10.6092/2282-1619/mjcp-2559</w:t>
        </w:r>
      </w:hyperlink>
      <w:r w:rsidRPr="00874A99">
        <w:rPr>
          <w:rFonts w:ascii="Garamond" w:eastAsia="Roboto" w:hAnsi="Garamond" w:cs="Roboto"/>
          <w:color w:val="212121"/>
          <w:sz w:val="24"/>
          <w:szCs w:val="24"/>
          <w:lang w:val="en-US"/>
        </w:rPr>
        <w:t xml:space="preserve"> </w:t>
      </w:r>
    </w:p>
    <w:p w14:paraId="098B3055" w14:textId="36382F99" w:rsidR="00443F82" w:rsidRPr="00874A99" w:rsidRDefault="00443F82"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Bertakis</w:t>
      </w:r>
      <w:proofErr w:type="spellEnd"/>
      <w:r w:rsidRPr="00874A99">
        <w:rPr>
          <w:rFonts w:ascii="Garamond" w:eastAsia="Roboto" w:hAnsi="Garamond" w:cs="Roboto"/>
          <w:color w:val="212121"/>
          <w:sz w:val="24"/>
          <w:szCs w:val="24"/>
          <w:lang w:val="en-US"/>
        </w:rPr>
        <w:t>, K. D., Azari, R., Helms, L. J., Callahan, E. J., &amp; Robbins, J. A. (2000). Gender differences in the utilization of health care services. The Journal of family practice, 49(2), 147–152.</w:t>
      </w:r>
    </w:p>
    <w:p w14:paraId="2486CC56" w14:textId="05567FD6"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Bienvenu, L. A., Noonan, J., Wang, X., &amp; Peter, K. (2020). Higher mortality of COVID-19 in males: sex differences in immune response and cardiovascular comorbidities. Cardiovascular research, 116(14), 2197–2206. </w:t>
      </w:r>
      <w:hyperlink r:id="rId12" w:history="1">
        <w:r w:rsidRPr="00874A99">
          <w:rPr>
            <w:rStyle w:val="Collegamentoipertestuale"/>
            <w:rFonts w:ascii="Garamond" w:eastAsia="Roboto" w:hAnsi="Garamond" w:cs="Roboto"/>
            <w:sz w:val="24"/>
            <w:szCs w:val="24"/>
            <w:lang w:val="en-US"/>
          </w:rPr>
          <w:t>https://doi.org/10.1093/cvr/cvaa284</w:t>
        </w:r>
      </w:hyperlink>
      <w:r w:rsidRPr="00874A99">
        <w:rPr>
          <w:rFonts w:ascii="Garamond" w:eastAsia="Roboto" w:hAnsi="Garamond" w:cs="Roboto"/>
          <w:color w:val="212121"/>
          <w:sz w:val="24"/>
          <w:szCs w:val="24"/>
          <w:lang w:val="en-US"/>
        </w:rPr>
        <w:t xml:space="preserve"> </w:t>
      </w:r>
    </w:p>
    <w:p w14:paraId="6272F5C7" w14:textId="50A2169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Bulloch, A. G., Williams, J. V., </w:t>
      </w:r>
      <w:proofErr w:type="spellStart"/>
      <w:r w:rsidRPr="00874A99">
        <w:rPr>
          <w:rFonts w:ascii="Garamond" w:eastAsia="Roboto" w:hAnsi="Garamond" w:cs="Roboto"/>
          <w:color w:val="212121"/>
          <w:sz w:val="24"/>
          <w:szCs w:val="24"/>
          <w:lang w:val="en-US"/>
        </w:rPr>
        <w:t>Lavorato</w:t>
      </w:r>
      <w:proofErr w:type="spellEnd"/>
      <w:r w:rsidRPr="00874A99">
        <w:rPr>
          <w:rFonts w:ascii="Garamond" w:eastAsia="Roboto" w:hAnsi="Garamond" w:cs="Roboto"/>
          <w:color w:val="212121"/>
          <w:sz w:val="24"/>
          <w:szCs w:val="24"/>
          <w:lang w:val="en-US"/>
        </w:rPr>
        <w:t xml:space="preserve">, D. H., &amp; Patten, S. B. (2009). The relationship between major depression and marital disruption is bidirectional. Depression and anxiety, 26(12), 1172–1177. </w:t>
      </w:r>
      <w:hyperlink r:id="rId13" w:history="1">
        <w:r w:rsidRPr="00874A99">
          <w:rPr>
            <w:rStyle w:val="Collegamentoipertestuale"/>
            <w:rFonts w:ascii="Garamond" w:eastAsia="Roboto" w:hAnsi="Garamond" w:cs="Roboto"/>
            <w:sz w:val="24"/>
            <w:szCs w:val="24"/>
            <w:lang w:val="en-US"/>
          </w:rPr>
          <w:t>https://doi.org/10.1002/da.20618</w:t>
        </w:r>
      </w:hyperlink>
      <w:r w:rsidRPr="00874A99">
        <w:rPr>
          <w:rFonts w:ascii="Garamond" w:eastAsia="Roboto" w:hAnsi="Garamond" w:cs="Roboto"/>
          <w:color w:val="212121"/>
          <w:sz w:val="24"/>
          <w:szCs w:val="24"/>
          <w:lang w:val="en-US"/>
        </w:rPr>
        <w:t xml:space="preserve"> </w:t>
      </w:r>
    </w:p>
    <w:p w14:paraId="75498A99" w14:textId="56FB96DE" w:rsidR="009A37F8" w:rsidRPr="00874A99" w:rsidRDefault="009A37F8"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Cénat</w:t>
      </w:r>
      <w:proofErr w:type="spellEnd"/>
      <w:r w:rsidRPr="00874A99">
        <w:rPr>
          <w:rFonts w:ascii="Garamond" w:eastAsia="Roboto" w:hAnsi="Garamond" w:cs="Roboto"/>
          <w:color w:val="212121"/>
          <w:sz w:val="24"/>
          <w:szCs w:val="24"/>
          <w:lang w:val="en-US"/>
        </w:rPr>
        <w:t xml:space="preserve">, J. M., </w:t>
      </w:r>
      <w:proofErr w:type="spellStart"/>
      <w:r w:rsidRPr="00874A99">
        <w:rPr>
          <w:rFonts w:ascii="Garamond" w:eastAsia="Roboto" w:hAnsi="Garamond" w:cs="Roboto"/>
          <w:color w:val="212121"/>
          <w:sz w:val="24"/>
          <w:szCs w:val="24"/>
          <w:lang w:val="en-US"/>
        </w:rPr>
        <w:t>Blais</w:t>
      </w:r>
      <w:proofErr w:type="spellEnd"/>
      <w:r w:rsidRPr="00874A99">
        <w:rPr>
          <w:rFonts w:ascii="Garamond" w:eastAsia="Roboto" w:hAnsi="Garamond" w:cs="Roboto"/>
          <w:color w:val="212121"/>
          <w:sz w:val="24"/>
          <w:szCs w:val="24"/>
          <w:lang w:val="en-US"/>
        </w:rPr>
        <w:t xml:space="preserve">-Rochette, C., </w:t>
      </w:r>
      <w:proofErr w:type="spellStart"/>
      <w:r w:rsidRPr="00874A99">
        <w:rPr>
          <w:rFonts w:ascii="Garamond" w:eastAsia="Roboto" w:hAnsi="Garamond" w:cs="Roboto"/>
          <w:color w:val="212121"/>
          <w:sz w:val="24"/>
          <w:szCs w:val="24"/>
          <w:lang w:val="en-US"/>
        </w:rPr>
        <w:t>Kokou-Kpolou</w:t>
      </w:r>
      <w:proofErr w:type="spellEnd"/>
      <w:r w:rsidRPr="00874A99">
        <w:rPr>
          <w:rFonts w:ascii="Garamond" w:eastAsia="Roboto" w:hAnsi="Garamond" w:cs="Roboto"/>
          <w:color w:val="212121"/>
          <w:sz w:val="24"/>
          <w:szCs w:val="24"/>
          <w:lang w:val="en-US"/>
        </w:rPr>
        <w:t xml:space="preserve">, C. K., </w:t>
      </w:r>
      <w:proofErr w:type="spellStart"/>
      <w:r w:rsidRPr="00874A99">
        <w:rPr>
          <w:rFonts w:ascii="Garamond" w:eastAsia="Roboto" w:hAnsi="Garamond" w:cs="Roboto"/>
          <w:color w:val="212121"/>
          <w:sz w:val="24"/>
          <w:szCs w:val="24"/>
          <w:lang w:val="en-US"/>
        </w:rPr>
        <w:t>Noorishad</w:t>
      </w:r>
      <w:proofErr w:type="spellEnd"/>
      <w:r w:rsidRPr="00874A99">
        <w:rPr>
          <w:rFonts w:ascii="Garamond" w:eastAsia="Roboto" w:hAnsi="Garamond" w:cs="Roboto"/>
          <w:color w:val="212121"/>
          <w:sz w:val="24"/>
          <w:szCs w:val="24"/>
          <w:lang w:val="en-US"/>
        </w:rPr>
        <w:t xml:space="preserve">, P. G., </w:t>
      </w:r>
      <w:proofErr w:type="spellStart"/>
      <w:r w:rsidRPr="00874A99">
        <w:rPr>
          <w:rFonts w:ascii="Garamond" w:eastAsia="Roboto" w:hAnsi="Garamond" w:cs="Roboto"/>
          <w:color w:val="212121"/>
          <w:sz w:val="24"/>
          <w:szCs w:val="24"/>
          <w:lang w:val="en-US"/>
        </w:rPr>
        <w:t>Mukunzi</w:t>
      </w:r>
      <w:proofErr w:type="spellEnd"/>
      <w:r w:rsidRPr="00874A99">
        <w:rPr>
          <w:rFonts w:ascii="Garamond" w:eastAsia="Roboto" w:hAnsi="Garamond" w:cs="Roboto"/>
          <w:color w:val="212121"/>
          <w:sz w:val="24"/>
          <w:szCs w:val="24"/>
          <w:lang w:val="en-US"/>
        </w:rPr>
        <w:t xml:space="preserve">, J. N., McIntee, S. E., </w:t>
      </w:r>
      <w:proofErr w:type="spellStart"/>
      <w:r w:rsidRPr="00874A99">
        <w:rPr>
          <w:rFonts w:ascii="Garamond" w:eastAsia="Roboto" w:hAnsi="Garamond" w:cs="Roboto"/>
          <w:color w:val="212121"/>
          <w:sz w:val="24"/>
          <w:szCs w:val="24"/>
          <w:lang w:val="en-US"/>
        </w:rPr>
        <w:t>Dalexis</w:t>
      </w:r>
      <w:proofErr w:type="spellEnd"/>
      <w:r w:rsidRPr="00874A99">
        <w:rPr>
          <w:rFonts w:ascii="Garamond" w:eastAsia="Roboto" w:hAnsi="Garamond" w:cs="Roboto"/>
          <w:color w:val="212121"/>
          <w:sz w:val="24"/>
          <w:szCs w:val="24"/>
          <w:lang w:val="en-US"/>
        </w:rPr>
        <w:t xml:space="preserve">, R. D., Goulet, M. A., &amp; Labelle, P. R. (2021). Prevalence of symptoms of depression, anxiety, insomnia, posttraumatic stress disorder, and psychological distress among populations affected by the COVID-19 pandemic: A systematic review and meta-analysis. </w:t>
      </w:r>
      <w:r w:rsidRPr="00EA5EC0">
        <w:rPr>
          <w:rFonts w:ascii="Garamond" w:eastAsia="Roboto" w:hAnsi="Garamond" w:cs="Roboto"/>
          <w:color w:val="212121"/>
          <w:sz w:val="24"/>
          <w:szCs w:val="24"/>
          <w:lang w:val="en-US"/>
        </w:rPr>
        <w:t xml:space="preserve">Psychiatry research, 295, 113599. </w:t>
      </w:r>
      <w:hyperlink r:id="rId14" w:history="1">
        <w:r w:rsidRPr="00EA5EC0">
          <w:rPr>
            <w:rStyle w:val="Collegamentoipertestuale"/>
            <w:rFonts w:ascii="Garamond" w:eastAsia="Roboto" w:hAnsi="Garamond" w:cs="Roboto"/>
            <w:sz w:val="24"/>
            <w:szCs w:val="24"/>
            <w:lang w:val="en-US"/>
          </w:rPr>
          <w:t>https://doi.org/10.1016/j.psychres.2020.113599</w:t>
        </w:r>
      </w:hyperlink>
      <w:r w:rsidRPr="00EA5EC0">
        <w:rPr>
          <w:rFonts w:ascii="Garamond" w:eastAsia="Roboto" w:hAnsi="Garamond" w:cs="Roboto"/>
          <w:color w:val="212121"/>
          <w:sz w:val="24"/>
          <w:szCs w:val="24"/>
          <w:lang w:val="en-US"/>
        </w:rPr>
        <w:t xml:space="preserve"> </w:t>
      </w:r>
    </w:p>
    <w:p w14:paraId="757E6CAC" w14:textId="77777777" w:rsidR="00443F82" w:rsidRPr="00874A99" w:rsidRDefault="00443F82"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Cherepanov</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Palta</w:t>
      </w:r>
      <w:proofErr w:type="spellEnd"/>
      <w:r w:rsidRPr="00874A99">
        <w:rPr>
          <w:rFonts w:ascii="Garamond" w:eastAsia="Roboto" w:hAnsi="Garamond" w:cs="Roboto"/>
          <w:color w:val="212121"/>
          <w:sz w:val="24"/>
          <w:szCs w:val="24"/>
          <w:lang w:val="en-US"/>
        </w:rPr>
        <w:t xml:space="preserve">, M., </w:t>
      </w:r>
      <w:proofErr w:type="spellStart"/>
      <w:r w:rsidRPr="00874A99">
        <w:rPr>
          <w:rFonts w:ascii="Garamond" w:eastAsia="Roboto" w:hAnsi="Garamond" w:cs="Roboto"/>
          <w:color w:val="212121"/>
          <w:sz w:val="24"/>
          <w:szCs w:val="24"/>
          <w:lang w:val="en-US"/>
        </w:rPr>
        <w:t>Fryback</w:t>
      </w:r>
      <w:proofErr w:type="spellEnd"/>
      <w:r w:rsidRPr="00874A99">
        <w:rPr>
          <w:rFonts w:ascii="Garamond" w:eastAsia="Roboto" w:hAnsi="Garamond" w:cs="Roboto"/>
          <w:color w:val="212121"/>
          <w:sz w:val="24"/>
          <w:szCs w:val="24"/>
          <w:lang w:val="en-US"/>
        </w:rPr>
        <w:t xml:space="preserve">, D. G., &amp; Robert, S. A. (2010). Gender differences in health-related quality-of-life are partly explained by sociodemographic and socioeconomic variation between adult men and women in the US: evidence from four US nationally representative data sets. Quality of life </w:t>
      </w:r>
      <w:proofErr w:type="gramStart"/>
      <w:r w:rsidRPr="00874A99">
        <w:rPr>
          <w:rFonts w:ascii="Garamond" w:eastAsia="Roboto" w:hAnsi="Garamond" w:cs="Roboto"/>
          <w:color w:val="212121"/>
          <w:sz w:val="24"/>
          <w:szCs w:val="24"/>
          <w:lang w:val="en-US"/>
        </w:rPr>
        <w:t>research :</w:t>
      </w:r>
      <w:proofErr w:type="gramEnd"/>
      <w:r w:rsidRPr="00874A99">
        <w:rPr>
          <w:rFonts w:ascii="Garamond" w:eastAsia="Roboto" w:hAnsi="Garamond" w:cs="Roboto"/>
          <w:color w:val="212121"/>
          <w:sz w:val="24"/>
          <w:szCs w:val="24"/>
          <w:lang w:val="en-US"/>
        </w:rPr>
        <w:t xml:space="preserve"> an international journal of quality of life aspects of treatment, care and rehabilitation, 19(8), 1115–1124. </w:t>
      </w:r>
      <w:hyperlink r:id="rId15" w:history="1">
        <w:r w:rsidRPr="00874A99">
          <w:rPr>
            <w:rStyle w:val="Collegamentoipertestuale"/>
            <w:rFonts w:ascii="Garamond" w:eastAsia="Roboto" w:hAnsi="Garamond" w:cs="Roboto"/>
            <w:sz w:val="24"/>
            <w:szCs w:val="24"/>
            <w:lang w:val="en-US"/>
          </w:rPr>
          <w:t>https://doi.org/10.1007/s11136-010-9673-x</w:t>
        </w:r>
      </w:hyperlink>
      <w:r w:rsidRPr="00874A99">
        <w:rPr>
          <w:rFonts w:ascii="Garamond" w:eastAsia="Roboto" w:hAnsi="Garamond" w:cs="Roboto"/>
          <w:color w:val="212121"/>
          <w:sz w:val="24"/>
          <w:szCs w:val="24"/>
          <w:lang w:val="en-US"/>
        </w:rPr>
        <w:t xml:space="preserve"> </w:t>
      </w:r>
    </w:p>
    <w:p w14:paraId="6A0E883E" w14:textId="3B510097" w:rsidR="00443F82" w:rsidRPr="00874A99" w:rsidRDefault="00443F82"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lastRenderedPageBreak/>
        <w:t>Cherepanov</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Palta</w:t>
      </w:r>
      <w:proofErr w:type="spellEnd"/>
      <w:r w:rsidRPr="00874A99">
        <w:rPr>
          <w:rFonts w:ascii="Garamond" w:eastAsia="Roboto" w:hAnsi="Garamond" w:cs="Roboto"/>
          <w:color w:val="212121"/>
          <w:sz w:val="24"/>
          <w:szCs w:val="24"/>
          <w:lang w:val="en-US"/>
        </w:rPr>
        <w:t xml:space="preserve">, M., </w:t>
      </w:r>
      <w:proofErr w:type="spellStart"/>
      <w:r w:rsidRPr="00874A99">
        <w:rPr>
          <w:rFonts w:ascii="Garamond" w:eastAsia="Roboto" w:hAnsi="Garamond" w:cs="Roboto"/>
          <w:color w:val="212121"/>
          <w:sz w:val="24"/>
          <w:szCs w:val="24"/>
          <w:lang w:val="en-US"/>
        </w:rPr>
        <w:t>Fryback</w:t>
      </w:r>
      <w:proofErr w:type="spellEnd"/>
      <w:r w:rsidRPr="00874A99">
        <w:rPr>
          <w:rFonts w:ascii="Garamond" w:eastAsia="Roboto" w:hAnsi="Garamond" w:cs="Roboto"/>
          <w:color w:val="212121"/>
          <w:sz w:val="24"/>
          <w:szCs w:val="24"/>
          <w:lang w:val="en-US"/>
        </w:rPr>
        <w:t xml:space="preserve">, D. G., Robert, S. A., Hays, R. D., &amp; Kaplan, R. M. (2011). Gender differences in multiple underlying dimensions of health-related quality of life are associated with sociodemographic and socioeconomic status. Medical care, 49(11), 1021–1030. </w:t>
      </w:r>
      <w:hyperlink r:id="rId16" w:history="1">
        <w:r w:rsidRPr="00874A99">
          <w:rPr>
            <w:rStyle w:val="Collegamentoipertestuale"/>
            <w:rFonts w:ascii="Garamond" w:eastAsia="Roboto" w:hAnsi="Garamond" w:cs="Roboto"/>
            <w:sz w:val="24"/>
            <w:szCs w:val="24"/>
            <w:lang w:val="en-US"/>
          </w:rPr>
          <w:t>https://doi.org/10.1097/MLR.0b013e31822ebed9</w:t>
        </w:r>
      </w:hyperlink>
      <w:r w:rsidRPr="00874A99">
        <w:rPr>
          <w:rFonts w:ascii="Garamond" w:eastAsia="Roboto" w:hAnsi="Garamond" w:cs="Roboto"/>
          <w:color w:val="212121"/>
          <w:sz w:val="24"/>
          <w:szCs w:val="24"/>
          <w:lang w:val="en-US"/>
        </w:rPr>
        <w:t xml:space="preserve"> </w:t>
      </w:r>
    </w:p>
    <w:p w14:paraId="2D908124" w14:textId="3183463F" w:rsidR="009A37F8" w:rsidRPr="00EA5EC0"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Connor, K. M., &amp; Davidson, J. R. (2003). Development of a new resilience scale: the Connor-Davidson Resilience Scale (CD-RISC). </w:t>
      </w:r>
      <w:proofErr w:type="spellStart"/>
      <w:r w:rsidRPr="00EA5EC0">
        <w:rPr>
          <w:rFonts w:ascii="Garamond" w:eastAsia="Roboto" w:hAnsi="Garamond" w:cs="Roboto"/>
          <w:color w:val="212121"/>
          <w:sz w:val="24"/>
          <w:szCs w:val="24"/>
          <w:lang w:val="it-IT"/>
        </w:rPr>
        <w:t>Depression</w:t>
      </w:r>
      <w:proofErr w:type="spellEnd"/>
      <w:r w:rsidRPr="00EA5EC0">
        <w:rPr>
          <w:rFonts w:ascii="Garamond" w:eastAsia="Roboto" w:hAnsi="Garamond" w:cs="Roboto"/>
          <w:color w:val="212121"/>
          <w:sz w:val="24"/>
          <w:szCs w:val="24"/>
          <w:lang w:val="it-IT"/>
        </w:rPr>
        <w:t xml:space="preserve"> and </w:t>
      </w:r>
      <w:proofErr w:type="spellStart"/>
      <w:r w:rsidRPr="00EA5EC0">
        <w:rPr>
          <w:rFonts w:ascii="Garamond" w:eastAsia="Roboto" w:hAnsi="Garamond" w:cs="Roboto"/>
          <w:color w:val="212121"/>
          <w:sz w:val="24"/>
          <w:szCs w:val="24"/>
          <w:lang w:val="it-IT"/>
        </w:rPr>
        <w:t>anxiety</w:t>
      </w:r>
      <w:proofErr w:type="spellEnd"/>
      <w:r w:rsidRPr="00EA5EC0">
        <w:rPr>
          <w:rFonts w:ascii="Garamond" w:eastAsia="Roboto" w:hAnsi="Garamond" w:cs="Roboto"/>
          <w:color w:val="212121"/>
          <w:sz w:val="24"/>
          <w:szCs w:val="24"/>
          <w:lang w:val="it-IT"/>
        </w:rPr>
        <w:t xml:space="preserve">, 18(2), 76–82. </w:t>
      </w:r>
      <w:hyperlink r:id="rId17" w:history="1">
        <w:r w:rsidRPr="00EA5EC0">
          <w:rPr>
            <w:rStyle w:val="Collegamentoipertestuale"/>
            <w:rFonts w:ascii="Garamond" w:eastAsia="Roboto" w:hAnsi="Garamond" w:cs="Roboto"/>
            <w:sz w:val="24"/>
            <w:szCs w:val="24"/>
            <w:lang w:val="it-IT"/>
          </w:rPr>
          <w:t>https://doi.org/10.1002/da.10113</w:t>
        </w:r>
      </w:hyperlink>
      <w:r w:rsidRPr="00EA5EC0">
        <w:rPr>
          <w:rFonts w:ascii="Garamond" w:eastAsia="Roboto" w:hAnsi="Garamond" w:cs="Roboto"/>
          <w:color w:val="212121"/>
          <w:sz w:val="24"/>
          <w:szCs w:val="24"/>
          <w:lang w:val="it-IT"/>
        </w:rPr>
        <w:t xml:space="preserve"> </w:t>
      </w:r>
    </w:p>
    <w:p w14:paraId="495CF770" w14:textId="37FFD558" w:rsidR="00443F82" w:rsidRPr="00C57903" w:rsidRDefault="00443F82"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Costantini, M., Musso, M., </w:t>
      </w:r>
      <w:proofErr w:type="spellStart"/>
      <w:r w:rsidRPr="00874A99">
        <w:rPr>
          <w:rFonts w:ascii="Garamond" w:eastAsia="Roboto" w:hAnsi="Garamond" w:cs="Roboto"/>
          <w:color w:val="212121"/>
          <w:sz w:val="24"/>
          <w:szCs w:val="24"/>
          <w:lang w:val="it-IT"/>
        </w:rPr>
        <w:t>Viterbori</w:t>
      </w:r>
      <w:proofErr w:type="spellEnd"/>
      <w:r w:rsidRPr="00874A99">
        <w:rPr>
          <w:rFonts w:ascii="Garamond" w:eastAsia="Roboto" w:hAnsi="Garamond" w:cs="Roboto"/>
          <w:color w:val="212121"/>
          <w:sz w:val="24"/>
          <w:szCs w:val="24"/>
          <w:lang w:val="it-IT"/>
        </w:rPr>
        <w:t xml:space="preserve">, P., Bonci, F., Del Mastro, L., Garrone, O., Venturini, M., &amp; Morasso, G. (1999). </w:t>
      </w:r>
      <w:r w:rsidRPr="00874A99">
        <w:rPr>
          <w:rFonts w:ascii="Garamond" w:eastAsia="Roboto" w:hAnsi="Garamond" w:cs="Roboto"/>
          <w:color w:val="212121"/>
          <w:sz w:val="24"/>
          <w:szCs w:val="24"/>
          <w:lang w:val="en-US"/>
        </w:rPr>
        <w:t xml:space="preserve">Detecting psychological distress in cancer patients: validity of the Italian version of the Hospital Anxiety and Depression Scale. Supportive care in </w:t>
      </w:r>
      <w:proofErr w:type="gramStart"/>
      <w:r w:rsidRPr="00874A99">
        <w:rPr>
          <w:rFonts w:ascii="Garamond" w:eastAsia="Roboto" w:hAnsi="Garamond" w:cs="Roboto"/>
          <w:color w:val="212121"/>
          <w:sz w:val="24"/>
          <w:szCs w:val="24"/>
          <w:lang w:val="en-US"/>
        </w:rPr>
        <w:t>cancer :</w:t>
      </w:r>
      <w:proofErr w:type="gramEnd"/>
      <w:r w:rsidRPr="00874A99">
        <w:rPr>
          <w:rFonts w:ascii="Garamond" w:eastAsia="Roboto" w:hAnsi="Garamond" w:cs="Roboto"/>
          <w:color w:val="212121"/>
          <w:sz w:val="24"/>
          <w:szCs w:val="24"/>
          <w:lang w:val="en-US"/>
        </w:rPr>
        <w:t xml:space="preserve"> official journal of the Multinational Association of Supportive Care in Cancer, 7(3), 121–127. </w:t>
      </w:r>
      <w:hyperlink r:id="rId18" w:history="1">
        <w:r w:rsidRPr="00C57903">
          <w:rPr>
            <w:rStyle w:val="Collegamentoipertestuale"/>
            <w:rFonts w:ascii="Garamond" w:eastAsia="Roboto" w:hAnsi="Garamond" w:cs="Roboto"/>
            <w:sz w:val="24"/>
            <w:szCs w:val="24"/>
            <w:lang w:val="it-IT"/>
          </w:rPr>
          <w:t>https://doi.org/10.1007/s005200050241</w:t>
        </w:r>
      </w:hyperlink>
      <w:r w:rsidRPr="00C57903">
        <w:rPr>
          <w:rFonts w:ascii="Garamond" w:eastAsia="Roboto" w:hAnsi="Garamond" w:cs="Roboto"/>
          <w:color w:val="212121"/>
          <w:sz w:val="24"/>
          <w:szCs w:val="24"/>
          <w:lang w:val="it-IT"/>
        </w:rPr>
        <w:t xml:space="preserve"> </w:t>
      </w:r>
    </w:p>
    <w:p w14:paraId="118C6E4D" w14:textId="5555E621" w:rsidR="00443F82" w:rsidRPr="00C57903" w:rsidRDefault="00443F82" w:rsidP="00874A99">
      <w:pPr>
        <w:spacing w:line="360" w:lineRule="auto"/>
        <w:jc w:val="both"/>
        <w:rPr>
          <w:rFonts w:ascii="Garamond" w:eastAsia="Roboto" w:hAnsi="Garamond" w:cs="Roboto"/>
          <w:color w:val="212121"/>
          <w:sz w:val="24"/>
          <w:szCs w:val="24"/>
          <w:lang w:val="it-IT"/>
        </w:rPr>
      </w:pPr>
      <w:proofErr w:type="spellStart"/>
      <w:r w:rsidRPr="00874A99">
        <w:rPr>
          <w:rFonts w:ascii="Garamond" w:eastAsia="Roboto" w:hAnsi="Garamond" w:cs="Roboto"/>
          <w:color w:val="212121"/>
          <w:sz w:val="24"/>
          <w:szCs w:val="24"/>
          <w:lang w:val="it-IT"/>
        </w:rPr>
        <w:t>Craparo</w:t>
      </w:r>
      <w:proofErr w:type="spellEnd"/>
      <w:r w:rsidRPr="00874A99">
        <w:rPr>
          <w:rFonts w:ascii="Garamond" w:eastAsia="Roboto" w:hAnsi="Garamond" w:cs="Roboto"/>
          <w:color w:val="212121"/>
          <w:sz w:val="24"/>
          <w:szCs w:val="24"/>
          <w:lang w:val="it-IT"/>
        </w:rPr>
        <w:t xml:space="preserve">, G., Faraci, P., Rotondo, G., &amp; Gori, A. (2013). </w:t>
      </w:r>
      <w:r w:rsidRPr="00874A99">
        <w:rPr>
          <w:rFonts w:ascii="Garamond" w:eastAsia="Roboto" w:hAnsi="Garamond" w:cs="Roboto"/>
          <w:color w:val="212121"/>
          <w:sz w:val="24"/>
          <w:szCs w:val="24"/>
          <w:lang w:val="en-US"/>
        </w:rPr>
        <w:t xml:space="preserve">The Impact of Event Scale - Revised: psychometric properties of the Italian version in a sample of flood victims. </w:t>
      </w:r>
      <w:proofErr w:type="spellStart"/>
      <w:r w:rsidRPr="00C57903">
        <w:rPr>
          <w:rFonts w:ascii="Garamond" w:eastAsia="Roboto" w:hAnsi="Garamond" w:cs="Roboto"/>
          <w:color w:val="212121"/>
          <w:sz w:val="24"/>
          <w:szCs w:val="24"/>
          <w:lang w:val="it-IT"/>
        </w:rPr>
        <w:t>Neuropsychiatric</w:t>
      </w:r>
      <w:proofErr w:type="spellEnd"/>
      <w:r w:rsidRPr="00C57903">
        <w:rPr>
          <w:rFonts w:ascii="Garamond" w:eastAsia="Roboto" w:hAnsi="Garamond" w:cs="Roboto"/>
          <w:color w:val="212121"/>
          <w:sz w:val="24"/>
          <w:szCs w:val="24"/>
          <w:lang w:val="it-IT"/>
        </w:rPr>
        <w:t xml:space="preserve"> </w:t>
      </w:r>
      <w:proofErr w:type="spellStart"/>
      <w:r w:rsidRPr="00C57903">
        <w:rPr>
          <w:rFonts w:ascii="Garamond" w:eastAsia="Roboto" w:hAnsi="Garamond" w:cs="Roboto"/>
          <w:color w:val="212121"/>
          <w:sz w:val="24"/>
          <w:szCs w:val="24"/>
          <w:lang w:val="it-IT"/>
        </w:rPr>
        <w:t>disease</w:t>
      </w:r>
      <w:proofErr w:type="spellEnd"/>
      <w:r w:rsidRPr="00C57903">
        <w:rPr>
          <w:rFonts w:ascii="Garamond" w:eastAsia="Roboto" w:hAnsi="Garamond" w:cs="Roboto"/>
          <w:color w:val="212121"/>
          <w:sz w:val="24"/>
          <w:szCs w:val="24"/>
          <w:lang w:val="it-IT"/>
        </w:rPr>
        <w:t xml:space="preserve"> and treatment, 9, 1427–1432. </w:t>
      </w:r>
      <w:hyperlink r:id="rId19" w:history="1">
        <w:r w:rsidRPr="00C57903">
          <w:rPr>
            <w:rStyle w:val="Collegamentoipertestuale"/>
            <w:rFonts w:ascii="Garamond" w:eastAsia="Roboto" w:hAnsi="Garamond" w:cs="Roboto"/>
            <w:sz w:val="24"/>
            <w:szCs w:val="24"/>
            <w:lang w:val="it-IT"/>
          </w:rPr>
          <w:t>https://doi.org/10.2147/NDT.S51793</w:t>
        </w:r>
      </w:hyperlink>
      <w:r w:rsidRPr="00C57903">
        <w:rPr>
          <w:rFonts w:ascii="Garamond" w:eastAsia="Roboto" w:hAnsi="Garamond" w:cs="Roboto"/>
          <w:color w:val="212121"/>
          <w:sz w:val="24"/>
          <w:szCs w:val="24"/>
          <w:lang w:val="it-IT"/>
        </w:rPr>
        <w:t xml:space="preserve"> </w:t>
      </w:r>
    </w:p>
    <w:p w14:paraId="1A9805C8" w14:textId="123F7D9F" w:rsidR="00443F82" w:rsidRPr="00874A99" w:rsidRDefault="00443F82"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Crispo, A., </w:t>
      </w:r>
      <w:proofErr w:type="spellStart"/>
      <w:r w:rsidRPr="00874A99">
        <w:rPr>
          <w:rFonts w:ascii="Garamond" w:eastAsia="Roboto" w:hAnsi="Garamond" w:cs="Roboto"/>
          <w:color w:val="212121"/>
          <w:sz w:val="24"/>
          <w:szCs w:val="24"/>
          <w:lang w:val="it-IT"/>
        </w:rPr>
        <w:t>Bimonte</w:t>
      </w:r>
      <w:proofErr w:type="spellEnd"/>
      <w:r w:rsidRPr="00874A99">
        <w:rPr>
          <w:rFonts w:ascii="Garamond" w:eastAsia="Roboto" w:hAnsi="Garamond" w:cs="Roboto"/>
          <w:color w:val="212121"/>
          <w:sz w:val="24"/>
          <w:szCs w:val="24"/>
          <w:lang w:val="it-IT"/>
        </w:rPr>
        <w:t xml:space="preserve">, S., Porciello, G., Forte, C. A., Cuomo, G., Montagnese, C., Prete, M., Grimaldi, M., Celentano, E., Amore, A., de Blasio, E., </w:t>
      </w:r>
      <w:proofErr w:type="spellStart"/>
      <w:r w:rsidRPr="00874A99">
        <w:rPr>
          <w:rFonts w:ascii="Garamond" w:eastAsia="Roboto" w:hAnsi="Garamond" w:cs="Roboto"/>
          <w:color w:val="212121"/>
          <w:sz w:val="24"/>
          <w:szCs w:val="24"/>
          <w:lang w:val="it-IT"/>
        </w:rPr>
        <w:t>Pentimalli</w:t>
      </w:r>
      <w:proofErr w:type="spellEnd"/>
      <w:r w:rsidRPr="00874A99">
        <w:rPr>
          <w:rFonts w:ascii="Garamond" w:eastAsia="Roboto" w:hAnsi="Garamond" w:cs="Roboto"/>
          <w:color w:val="212121"/>
          <w:sz w:val="24"/>
          <w:szCs w:val="24"/>
          <w:lang w:val="it-IT"/>
        </w:rPr>
        <w:t xml:space="preserve">, F., Giordano, A., Botti, G., Baglio, G., </w:t>
      </w:r>
      <w:proofErr w:type="spellStart"/>
      <w:r w:rsidRPr="00874A99">
        <w:rPr>
          <w:rFonts w:ascii="Garamond" w:eastAsia="Roboto" w:hAnsi="Garamond" w:cs="Roboto"/>
          <w:color w:val="212121"/>
          <w:sz w:val="24"/>
          <w:szCs w:val="24"/>
          <w:lang w:val="it-IT"/>
        </w:rPr>
        <w:t>Sileri</w:t>
      </w:r>
      <w:proofErr w:type="spellEnd"/>
      <w:r w:rsidRPr="00874A99">
        <w:rPr>
          <w:rFonts w:ascii="Garamond" w:eastAsia="Roboto" w:hAnsi="Garamond" w:cs="Roboto"/>
          <w:color w:val="212121"/>
          <w:sz w:val="24"/>
          <w:szCs w:val="24"/>
          <w:lang w:val="it-IT"/>
        </w:rPr>
        <w:t xml:space="preserve">, P., Cascella, M., &amp; Cuomo, A. (2021). </w:t>
      </w:r>
      <w:r w:rsidRPr="00874A99">
        <w:rPr>
          <w:rFonts w:ascii="Garamond" w:eastAsia="Roboto" w:hAnsi="Garamond" w:cs="Roboto"/>
          <w:color w:val="212121"/>
          <w:sz w:val="24"/>
          <w:szCs w:val="24"/>
          <w:lang w:val="en-US"/>
        </w:rPr>
        <w:t xml:space="preserve">Strategies to evaluate outcomes in long-COVID-19 and post-COVID survivors. Infectious agents and cancer, 16(1), 62. </w:t>
      </w:r>
      <w:hyperlink r:id="rId20" w:history="1">
        <w:r w:rsidRPr="00874A99">
          <w:rPr>
            <w:rStyle w:val="Collegamentoipertestuale"/>
            <w:rFonts w:ascii="Garamond" w:eastAsia="Roboto" w:hAnsi="Garamond" w:cs="Roboto"/>
            <w:sz w:val="24"/>
            <w:szCs w:val="24"/>
            <w:lang w:val="en-US"/>
          </w:rPr>
          <w:t>https://doi.org/10.1186/s13027-021-00401-3</w:t>
        </w:r>
      </w:hyperlink>
      <w:r w:rsidRPr="00874A99">
        <w:rPr>
          <w:rFonts w:ascii="Garamond" w:eastAsia="Roboto" w:hAnsi="Garamond" w:cs="Roboto"/>
          <w:color w:val="212121"/>
          <w:sz w:val="24"/>
          <w:szCs w:val="24"/>
          <w:lang w:val="en-US"/>
        </w:rPr>
        <w:t xml:space="preserve"> </w:t>
      </w:r>
    </w:p>
    <w:p w14:paraId="28C3012C" w14:textId="46AE05DC" w:rsidR="00443F82" w:rsidRPr="00874A99" w:rsidRDefault="00443F82"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de </w:t>
      </w:r>
      <w:proofErr w:type="spellStart"/>
      <w:r w:rsidRPr="00874A99">
        <w:rPr>
          <w:rFonts w:ascii="Garamond" w:eastAsia="Roboto" w:hAnsi="Garamond" w:cs="Roboto"/>
          <w:color w:val="212121"/>
          <w:sz w:val="24"/>
          <w:szCs w:val="24"/>
          <w:lang w:val="en-US"/>
        </w:rPr>
        <w:t>Almondes</w:t>
      </w:r>
      <w:proofErr w:type="spellEnd"/>
      <w:r w:rsidRPr="00874A99">
        <w:rPr>
          <w:rFonts w:ascii="Garamond" w:eastAsia="Roboto" w:hAnsi="Garamond" w:cs="Roboto"/>
          <w:color w:val="212121"/>
          <w:sz w:val="24"/>
          <w:szCs w:val="24"/>
          <w:lang w:val="en-US"/>
        </w:rPr>
        <w:t xml:space="preserve">, K. M., Marín </w:t>
      </w:r>
      <w:proofErr w:type="spellStart"/>
      <w:r w:rsidRPr="00874A99">
        <w:rPr>
          <w:rFonts w:ascii="Garamond" w:eastAsia="Roboto" w:hAnsi="Garamond" w:cs="Roboto"/>
          <w:color w:val="212121"/>
          <w:sz w:val="24"/>
          <w:szCs w:val="24"/>
          <w:lang w:val="en-US"/>
        </w:rPr>
        <w:t>Agudelo</w:t>
      </w:r>
      <w:proofErr w:type="spellEnd"/>
      <w:r w:rsidRPr="00874A99">
        <w:rPr>
          <w:rFonts w:ascii="Garamond" w:eastAsia="Roboto" w:hAnsi="Garamond" w:cs="Roboto"/>
          <w:color w:val="212121"/>
          <w:sz w:val="24"/>
          <w:szCs w:val="24"/>
          <w:lang w:val="en-US"/>
        </w:rPr>
        <w:t xml:space="preserve">, H. A., &amp; Jiménez-Correa, U. (2021). Impact of Sleep Deprivation on Emotional Regulation and the Immune System of Healthcare Workers as a Risk Factor for COVID 19: Practical Recommendations </w:t>
      </w:r>
      <w:proofErr w:type="gramStart"/>
      <w:r w:rsidRPr="00874A99">
        <w:rPr>
          <w:rFonts w:ascii="Garamond" w:eastAsia="Roboto" w:hAnsi="Garamond" w:cs="Roboto"/>
          <w:color w:val="212121"/>
          <w:sz w:val="24"/>
          <w:szCs w:val="24"/>
          <w:lang w:val="en-US"/>
        </w:rPr>
        <w:t>From</w:t>
      </w:r>
      <w:proofErr w:type="gramEnd"/>
      <w:r w:rsidRPr="00874A99">
        <w:rPr>
          <w:rFonts w:ascii="Garamond" w:eastAsia="Roboto" w:hAnsi="Garamond" w:cs="Roboto"/>
          <w:color w:val="212121"/>
          <w:sz w:val="24"/>
          <w:szCs w:val="24"/>
          <w:lang w:val="en-US"/>
        </w:rPr>
        <w:t xml:space="preserve"> a Task Force of the Latin American Association of Sleep Psychology. Frontiers in psychology, 12, 564227. </w:t>
      </w:r>
      <w:hyperlink r:id="rId21" w:history="1">
        <w:r w:rsidRPr="00874A99">
          <w:rPr>
            <w:rStyle w:val="Collegamentoipertestuale"/>
            <w:rFonts w:ascii="Garamond" w:eastAsia="Roboto" w:hAnsi="Garamond" w:cs="Roboto"/>
            <w:sz w:val="24"/>
            <w:szCs w:val="24"/>
            <w:lang w:val="en-US"/>
          </w:rPr>
          <w:t>https://doi.org/10.3389/fpsyg.2021.564227</w:t>
        </w:r>
      </w:hyperlink>
      <w:r w:rsidRPr="00874A99">
        <w:rPr>
          <w:rFonts w:ascii="Garamond" w:eastAsia="Roboto" w:hAnsi="Garamond" w:cs="Roboto"/>
          <w:color w:val="212121"/>
          <w:sz w:val="24"/>
          <w:szCs w:val="24"/>
          <w:lang w:val="en-US"/>
        </w:rPr>
        <w:t xml:space="preserve"> </w:t>
      </w:r>
    </w:p>
    <w:p w14:paraId="1D239CB2" w14:textId="007FCF5D" w:rsidR="009A37F8" w:rsidRPr="00874A99" w:rsidRDefault="009A37F8" w:rsidP="00874A99">
      <w:pPr>
        <w:spacing w:line="360" w:lineRule="auto"/>
        <w:rPr>
          <w:rFonts w:ascii="Garamond" w:eastAsia="Times New Roman" w:hAnsi="Garamond" w:cs="Times New Roman"/>
          <w:color w:val="212121"/>
          <w:sz w:val="24"/>
          <w:szCs w:val="24"/>
          <w:lang w:val="en-US"/>
        </w:rPr>
      </w:pPr>
      <w:r w:rsidRPr="00874A99">
        <w:rPr>
          <w:rFonts w:ascii="Garamond" w:eastAsia="Roboto" w:hAnsi="Garamond" w:cs="Roboto"/>
          <w:color w:val="212121"/>
          <w:sz w:val="24"/>
          <w:szCs w:val="24"/>
          <w:lang w:val="en-US"/>
        </w:rPr>
        <w:t xml:space="preserve">Deng, J., Zhou, F., Hou, W., Silver, Z., Wong, C. Y., Chang, O., Huang, E., &amp; </w:t>
      </w:r>
      <w:proofErr w:type="spellStart"/>
      <w:r w:rsidRPr="00874A99">
        <w:rPr>
          <w:rFonts w:ascii="Garamond" w:eastAsia="Roboto" w:hAnsi="Garamond" w:cs="Roboto"/>
          <w:color w:val="212121"/>
          <w:sz w:val="24"/>
          <w:szCs w:val="24"/>
          <w:lang w:val="en-US"/>
        </w:rPr>
        <w:t>Zuo</w:t>
      </w:r>
      <w:proofErr w:type="spellEnd"/>
      <w:r w:rsidRPr="00874A99">
        <w:rPr>
          <w:rFonts w:ascii="Garamond" w:eastAsia="Roboto" w:hAnsi="Garamond" w:cs="Roboto"/>
          <w:color w:val="212121"/>
          <w:sz w:val="24"/>
          <w:szCs w:val="24"/>
          <w:lang w:val="en-US"/>
        </w:rPr>
        <w:t xml:space="preserve">, Q. K. (2021). The prevalence of depression, anxiety, and sleep disturbances in COVID-19 patients: a meta-analysis. Annals of the New York Academy of Sciences, 1486(1), 90–111. </w:t>
      </w:r>
      <w:hyperlink r:id="rId22" w:history="1">
        <w:r w:rsidRPr="00874A99">
          <w:rPr>
            <w:rStyle w:val="Collegamentoipertestuale"/>
            <w:rFonts w:ascii="Garamond" w:eastAsia="Roboto" w:hAnsi="Garamond" w:cs="Roboto"/>
            <w:sz w:val="24"/>
            <w:szCs w:val="24"/>
            <w:lang w:val="en-US"/>
          </w:rPr>
          <w:t>https://doi.org/10.1111/nyas.14506</w:t>
        </w:r>
      </w:hyperlink>
      <w:r w:rsidRPr="00874A99">
        <w:rPr>
          <w:rFonts w:ascii="Garamond" w:eastAsia="Roboto" w:hAnsi="Garamond" w:cs="Roboto"/>
          <w:color w:val="212121"/>
          <w:sz w:val="24"/>
          <w:szCs w:val="24"/>
          <w:lang w:val="en-US"/>
        </w:rPr>
        <w:t xml:space="preserve"> </w:t>
      </w:r>
    </w:p>
    <w:p w14:paraId="1134A859" w14:textId="6CBD91EF" w:rsidR="00443F82" w:rsidRPr="00874A99" w:rsidRDefault="009A37F8" w:rsidP="00874A99">
      <w:pPr>
        <w:spacing w:line="360" w:lineRule="auto"/>
        <w:rPr>
          <w:rFonts w:ascii="Garamond" w:eastAsia="Times New Roman" w:hAnsi="Garamond" w:cs="Times New Roman"/>
          <w:color w:val="212121"/>
          <w:sz w:val="24"/>
          <w:szCs w:val="24"/>
          <w:lang w:val="en-US"/>
        </w:rPr>
      </w:pPr>
      <w:r w:rsidRPr="00874A99">
        <w:rPr>
          <w:rFonts w:ascii="Garamond" w:eastAsia="Roboto" w:hAnsi="Garamond" w:cs="Roboto"/>
          <w:color w:val="212121"/>
          <w:sz w:val="24"/>
          <w:szCs w:val="24"/>
          <w:lang w:val="en-US"/>
        </w:rPr>
        <w:t xml:space="preserve">Denton, M., </w:t>
      </w:r>
      <w:proofErr w:type="spellStart"/>
      <w:r w:rsidRPr="00874A99">
        <w:rPr>
          <w:rFonts w:ascii="Garamond" w:eastAsia="Roboto" w:hAnsi="Garamond" w:cs="Roboto"/>
          <w:color w:val="212121"/>
          <w:sz w:val="24"/>
          <w:szCs w:val="24"/>
          <w:lang w:val="en-US"/>
        </w:rPr>
        <w:t>Prus</w:t>
      </w:r>
      <w:proofErr w:type="spellEnd"/>
      <w:r w:rsidRPr="00874A99">
        <w:rPr>
          <w:rFonts w:ascii="Garamond" w:eastAsia="Roboto" w:hAnsi="Garamond" w:cs="Roboto"/>
          <w:color w:val="212121"/>
          <w:sz w:val="24"/>
          <w:szCs w:val="24"/>
          <w:lang w:val="en-US"/>
        </w:rPr>
        <w:t xml:space="preserve">, S., &amp; Walters, V. (2004). Gender differences in health: a Canadian study of the psychosocial, </w:t>
      </w:r>
      <w:proofErr w:type="gramStart"/>
      <w:r w:rsidRPr="00874A99">
        <w:rPr>
          <w:rFonts w:ascii="Garamond" w:eastAsia="Roboto" w:hAnsi="Garamond" w:cs="Roboto"/>
          <w:color w:val="212121"/>
          <w:sz w:val="24"/>
          <w:szCs w:val="24"/>
          <w:lang w:val="en-US"/>
        </w:rPr>
        <w:t>structural</w:t>
      </w:r>
      <w:proofErr w:type="gramEnd"/>
      <w:r w:rsidRPr="00874A99">
        <w:rPr>
          <w:rFonts w:ascii="Garamond" w:eastAsia="Roboto" w:hAnsi="Garamond" w:cs="Roboto"/>
          <w:color w:val="212121"/>
          <w:sz w:val="24"/>
          <w:szCs w:val="24"/>
          <w:lang w:val="en-US"/>
        </w:rPr>
        <w:t xml:space="preserve"> and </w:t>
      </w:r>
      <w:proofErr w:type="spellStart"/>
      <w:r w:rsidRPr="00874A99">
        <w:rPr>
          <w:rFonts w:ascii="Garamond" w:eastAsia="Roboto" w:hAnsi="Garamond" w:cs="Roboto"/>
          <w:color w:val="212121"/>
          <w:sz w:val="24"/>
          <w:szCs w:val="24"/>
          <w:lang w:val="en-US"/>
        </w:rPr>
        <w:t>behavioural</w:t>
      </w:r>
      <w:proofErr w:type="spellEnd"/>
      <w:r w:rsidRPr="00874A99">
        <w:rPr>
          <w:rFonts w:ascii="Garamond" w:eastAsia="Roboto" w:hAnsi="Garamond" w:cs="Roboto"/>
          <w:color w:val="212121"/>
          <w:sz w:val="24"/>
          <w:szCs w:val="24"/>
          <w:lang w:val="en-US"/>
        </w:rPr>
        <w:t xml:space="preserve"> determinants of health. Social science &amp; medicine (1982), 58(12), 2585–2600. </w:t>
      </w:r>
      <w:hyperlink r:id="rId23" w:history="1">
        <w:r w:rsidRPr="00874A99">
          <w:rPr>
            <w:rStyle w:val="Collegamentoipertestuale"/>
            <w:rFonts w:ascii="Garamond" w:eastAsia="Roboto" w:hAnsi="Garamond" w:cs="Roboto"/>
            <w:sz w:val="24"/>
            <w:szCs w:val="24"/>
            <w:lang w:val="en-US"/>
          </w:rPr>
          <w:t>https://doi.org/10.1016/j.socscimed.2003.09.008</w:t>
        </w:r>
      </w:hyperlink>
      <w:r w:rsidRPr="00874A99">
        <w:rPr>
          <w:rFonts w:ascii="Garamond" w:eastAsia="Roboto" w:hAnsi="Garamond" w:cs="Roboto"/>
          <w:color w:val="212121"/>
          <w:sz w:val="24"/>
          <w:szCs w:val="24"/>
          <w:lang w:val="en-US"/>
        </w:rPr>
        <w:t xml:space="preserve"> </w:t>
      </w:r>
    </w:p>
    <w:p w14:paraId="468FFE29" w14:textId="27DBB408" w:rsidR="00443F82"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lastRenderedPageBreak/>
        <w:t xml:space="preserve">Dong, F., Liu, H. L., Dai, N., Yang, M., &amp; Liu, J. P. (2021). A living systematic review of the psychological problems in people suffering from COVID-19. Journal of affective disorders, 292, 172–188. </w:t>
      </w:r>
      <w:hyperlink r:id="rId24" w:history="1">
        <w:r w:rsidRPr="00874A99">
          <w:rPr>
            <w:rStyle w:val="Collegamentoipertestuale"/>
            <w:rFonts w:ascii="Garamond" w:eastAsia="Roboto" w:hAnsi="Garamond" w:cs="Roboto"/>
            <w:sz w:val="24"/>
            <w:szCs w:val="24"/>
            <w:lang w:val="en-US"/>
          </w:rPr>
          <w:t>https://doi.org/10.1016/j.jad.2021.05.060</w:t>
        </w:r>
      </w:hyperlink>
      <w:r w:rsidRPr="00874A99">
        <w:rPr>
          <w:rFonts w:ascii="Garamond" w:eastAsia="Roboto" w:hAnsi="Garamond" w:cs="Roboto"/>
          <w:color w:val="212121"/>
          <w:sz w:val="24"/>
          <w:szCs w:val="24"/>
          <w:lang w:val="en-US"/>
        </w:rPr>
        <w:t xml:space="preserve"> </w:t>
      </w:r>
    </w:p>
    <w:p w14:paraId="329670BF" w14:textId="4615815A"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Fernández-de-Las-</w:t>
      </w:r>
      <w:proofErr w:type="spellStart"/>
      <w:r w:rsidRPr="00874A99">
        <w:rPr>
          <w:rFonts w:ascii="Garamond" w:eastAsia="Roboto" w:hAnsi="Garamond" w:cs="Roboto"/>
          <w:color w:val="212121"/>
          <w:sz w:val="24"/>
          <w:szCs w:val="24"/>
          <w:lang w:val="en-US"/>
        </w:rPr>
        <w:t>Peñas</w:t>
      </w:r>
      <w:proofErr w:type="spellEnd"/>
      <w:r w:rsidRPr="00874A99">
        <w:rPr>
          <w:rFonts w:ascii="Garamond" w:eastAsia="Roboto" w:hAnsi="Garamond" w:cs="Roboto"/>
          <w:color w:val="212121"/>
          <w:sz w:val="24"/>
          <w:szCs w:val="24"/>
          <w:lang w:val="en-US"/>
        </w:rPr>
        <w:t xml:space="preserve">, C., Martín-Guerrero, J. D., </w:t>
      </w:r>
      <w:proofErr w:type="spellStart"/>
      <w:r w:rsidRPr="00874A99">
        <w:rPr>
          <w:rFonts w:ascii="Garamond" w:eastAsia="Roboto" w:hAnsi="Garamond" w:cs="Roboto"/>
          <w:color w:val="212121"/>
          <w:sz w:val="24"/>
          <w:szCs w:val="24"/>
          <w:lang w:val="en-US"/>
        </w:rPr>
        <w:t>Pellicer</w:t>
      </w:r>
      <w:proofErr w:type="spellEnd"/>
      <w:r w:rsidRPr="00874A99">
        <w:rPr>
          <w:rFonts w:ascii="Garamond" w:eastAsia="Roboto" w:hAnsi="Garamond" w:cs="Roboto"/>
          <w:color w:val="212121"/>
          <w:sz w:val="24"/>
          <w:szCs w:val="24"/>
          <w:lang w:val="en-US"/>
        </w:rPr>
        <w:t xml:space="preserve">-Valero, Ó. J., Navarro-Pardo, E., Gómez-Mayordomo, V., </w:t>
      </w:r>
      <w:proofErr w:type="spellStart"/>
      <w:r w:rsidRPr="00874A99">
        <w:rPr>
          <w:rFonts w:ascii="Garamond" w:eastAsia="Roboto" w:hAnsi="Garamond" w:cs="Roboto"/>
          <w:color w:val="212121"/>
          <w:sz w:val="24"/>
          <w:szCs w:val="24"/>
          <w:lang w:val="en-US"/>
        </w:rPr>
        <w:t>Cuadrado</w:t>
      </w:r>
      <w:proofErr w:type="spellEnd"/>
      <w:r w:rsidRPr="00874A99">
        <w:rPr>
          <w:rFonts w:ascii="Garamond" w:eastAsia="Roboto" w:hAnsi="Garamond" w:cs="Roboto"/>
          <w:color w:val="212121"/>
          <w:sz w:val="24"/>
          <w:szCs w:val="24"/>
          <w:lang w:val="en-US"/>
        </w:rPr>
        <w:t>, M. L., Arias-</w:t>
      </w:r>
      <w:proofErr w:type="spellStart"/>
      <w:r w:rsidRPr="00874A99">
        <w:rPr>
          <w:rFonts w:ascii="Garamond" w:eastAsia="Roboto" w:hAnsi="Garamond" w:cs="Roboto"/>
          <w:color w:val="212121"/>
          <w:sz w:val="24"/>
          <w:szCs w:val="24"/>
          <w:lang w:val="en-US"/>
        </w:rPr>
        <w:t>Navalón</w:t>
      </w:r>
      <w:proofErr w:type="spellEnd"/>
      <w:r w:rsidRPr="00874A99">
        <w:rPr>
          <w:rFonts w:ascii="Garamond" w:eastAsia="Roboto" w:hAnsi="Garamond" w:cs="Roboto"/>
          <w:color w:val="212121"/>
          <w:sz w:val="24"/>
          <w:szCs w:val="24"/>
          <w:lang w:val="en-US"/>
        </w:rPr>
        <w:t xml:space="preserve">, J. A., </w:t>
      </w:r>
      <w:proofErr w:type="spellStart"/>
      <w:r w:rsidRPr="00874A99">
        <w:rPr>
          <w:rFonts w:ascii="Garamond" w:eastAsia="Roboto" w:hAnsi="Garamond" w:cs="Roboto"/>
          <w:color w:val="212121"/>
          <w:sz w:val="24"/>
          <w:szCs w:val="24"/>
          <w:lang w:val="en-US"/>
        </w:rPr>
        <w:t>Cigarán</w:t>
      </w:r>
      <w:proofErr w:type="spellEnd"/>
      <w:r w:rsidRPr="00874A99">
        <w:rPr>
          <w:rFonts w:ascii="Garamond" w:eastAsia="Roboto" w:hAnsi="Garamond" w:cs="Roboto"/>
          <w:color w:val="212121"/>
          <w:sz w:val="24"/>
          <w:szCs w:val="24"/>
          <w:lang w:val="en-US"/>
        </w:rPr>
        <w:t xml:space="preserve">-Méndez, M., Hernández-Barrera, V., &amp; Arendt-Nielsen, L. (2022). Female Sex Is a Risk Factor Associated with Long-Term Post-COVID Related-Symptoms but Not with COVID-19 Symptoms: The LONG-COVID-EXP-CM Multicenter Study. Journal of clinical medicine, 11(2), 413. </w:t>
      </w:r>
      <w:hyperlink r:id="rId25" w:history="1">
        <w:r w:rsidRPr="00874A99">
          <w:rPr>
            <w:rStyle w:val="Collegamentoipertestuale"/>
            <w:rFonts w:ascii="Garamond" w:eastAsia="Roboto" w:hAnsi="Garamond" w:cs="Roboto"/>
            <w:sz w:val="24"/>
            <w:szCs w:val="24"/>
            <w:lang w:val="en-US"/>
          </w:rPr>
          <w:t>https://doi.org/10.3390/jcm11020413</w:t>
        </w:r>
      </w:hyperlink>
      <w:r w:rsidRPr="00874A99">
        <w:rPr>
          <w:rFonts w:ascii="Garamond" w:eastAsia="Roboto" w:hAnsi="Garamond" w:cs="Roboto"/>
          <w:color w:val="212121"/>
          <w:sz w:val="24"/>
          <w:szCs w:val="24"/>
          <w:lang w:val="en-US"/>
        </w:rPr>
        <w:t xml:space="preserve"> </w:t>
      </w:r>
    </w:p>
    <w:p w14:paraId="4210400C" w14:textId="0B289441" w:rsidR="009A37F8" w:rsidRPr="00874A99" w:rsidRDefault="009A37F8" w:rsidP="00874A99">
      <w:pPr>
        <w:spacing w:line="360" w:lineRule="auto"/>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Jorm</w:t>
      </w:r>
      <w:proofErr w:type="spellEnd"/>
      <w:r w:rsidRPr="00874A99">
        <w:rPr>
          <w:rFonts w:ascii="Garamond" w:eastAsia="Roboto" w:hAnsi="Garamond" w:cs="Roboto"/>
          <w:color w:val="212121"/>
          <w:sz w:val="24"/>
          <w:szCs w:val="24"/>
          <w:lang w:val="en-US"/>
        </w:rPr>
        <w:t xml:space="preserve"> A. F. (1987). Sex differences in neuroticism: a quantitative synthesis of published research. The Australian and New Zealand journal of psychiatry, 21(4), 501–506. </w:t>
      </w:r>
      <w:hyperlink r:id="rId26" w:history="1">
        <w:r w:rsidRPr="00874A99">
          <w:rPr>
            <w:rStyle w:val="Collegamentoipertestuale"/>
            <w:rFonts w:ascii="Garamond" w:eastAsia="Roboto" w:hAnsi="Garamond" w:cs="Roboto"/>
            <w:sz w:val="24"/>
            <w:szCs w:val="24"/>
            <w:lang w:val="en-US"/>
          </w:rPr>
          <w:t>https://doi.org/10.3109/00048678709158917</w:t>
        </w:r>
      </w:hyperlink>
      <w:r w:rsidRPr="00874A99">
        <w:rPr>
          <w:rFonts w:ascii="Garamond" w:eastAsia="Roboto" w:hAnsi="Garamond" w:cs="Roboto"/>
          <w:color w:val="212121"/>
          <w:sz w:val="24"/>
          <w:szCs w:val="24"/>
          <w:lang w:val="en-US"/>
        </w:rPr>
        <w:t xml:space="preserve"> </w:t>
      </w:r>
    </w:p>
    <w:p w14:paraId="2FE498B9" w14:textId="475BEB35"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Lahey B. B. (2009). Public health significance of neuroticism. The American psychologist, 64(4), 241–256. </w:t>
      </w:r>
      <w:hyperlink r:id="rId27" w:history="1">
        <w:r w:rsidRPr="00874A99">
          <w:rPr>
            <w:rStyle w:val="Collegamentoipertestuale"/>
            <w:rFonts w:ascii="Garamond" w:eastAsia="Roboto" w:hAnsi="Garamond" w:cs="Roboto"/>
            <w:sz w:val="24"/>
            <w:szCs w:val="24"/>
            <w:lang w:val="en-US"/>
          </w:rPr>
          <w:t>https://doi.org/10.1037/a0015309</w:t>
        </w:r>
      </w:hyperlink>
    </w:p>
    <w:p w14:paraId="572D31B1" w14:textId="6DD11222" w:rsidR="00443F82" w:rsidRPr="00874A99" w:rsidRDefault="009A37F8" w:rsidP="00874A99">
      <w:pPr>
        <w:spacing w:line="360" w:lineRule="auto"/>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Lawal, A. M., Alhassan, E. O., </w:t>
      </w:r>
      <w:proofErr w:type="spellStart"/>
      <w:r w:rsidRPr="00874A99">
        <w:rPr>
          <w:rFonts w:ascii="Garamond" w:eastAsia="Roboto" w:hAnsi="Garamond" w:cs="Roboto"/>
          <w:color w:val="212121"/>
          <w:sz w:val="24"/>
          <w:szCs w:val="24"/>
          <w:lang w:val="en-US"/>
        </w:rPr>
        <w:t>Mogaji</w:t>
      </w:r>
      <w:proofErr w:type="spellEnd"/>
      <w:r w:rsidRPr="00874A99">
        <w:rPr>
          <w:rFonts w:ascii="Garamond" w:eastAsia="Roboto" w:hAnsi="Garamond" w:cs="Roboto"/>
          <w:color w:val="212121"/>
          <w:sz w:val="24"/>
          <w:szCs w:val="24"/>
          <w:lang w:val="en-US"/>
        </w:rPr>
        <w:t xml:space="preserve">, H. O., </w:t>
      </w:r>
      <w:proofErr w:type="spellStart"/>
      <w:r w:rsidRPr="00874A99">
        <w:rPr>
          <w:rFonts w:ascii="Garamond" w:eastAsia="Roboto" w:hAnsi="Garamond" w:cs="Roboto"/>
          <w:color w:val="212121"/>
          <w:sz w:val="24"/>
          <w:szCs w:val="24"/>
          <w:lang w:val="en-US"/>
        </w:rPr>
        <w:t>Odoh</w:t>
      </w:r>
      <w:proofErr w:type="spellEnd"/>
      <w:r w:rsidRPr="00874A99">
        <w:rPr>
          <w:rFonts w:ascii="Garamond" w:eastAsia="Roboto" w:hAnsi="Garamond" w:cs="Roboto"/>
          <w:color w:val="212121"/>
          <w:sz w:val="24"/>
          <w:szCs w:val="24"/>
          <w:lang w:val="en-US"/>
        </w:rPr>
        <w:t xml:space="preserve">, I. M., &amp; Essien, E. A. (2022). Differential effect of gender, marital status, religion, ethnicity, </w:t>
      </w:r>
      <w:proofErr w:type="gramStart"/>
      <w:r w:rsidRPr="00874A99">
        <w:rPr>
          <w:rFonts w:ascii="Garamond" w:eastAsia="Roboto" w:hAnsi="Garamond" w:cs="Roboto"/>
          <w:color w:val="212121"/>
          <w:sz w:val="24"/>
          <w:szCs w:val="24"/>
          <w:lang w:val="en-US"/>
        </w:rPr>
        <w:t>education</w:t>
      </w:r>
      <w:proofErr w:type="gramEnd"/>
      <w:r w:rsidRPr="00874A99">
        <w:rPr>
          <w:rFonts w:ascii="Garamond" w:eastAsia="Roboto" w:hAnsi="Garamond" w:cs="Roboto"/>
          <w:color w:val="212121"/>
          <w:sz w:val="24"/>
          <w:szCs w:val="24"/>
          <w:lang w:val="en-US"/>
        </w:rPr>
        <w:t xml:space="preserve"> and employment status on mental health during COVID-19 lockdown in Nigeria. Psychology, health &amp; medicine, 27(1), 1–12. https://doi.org/10.1080/13548506.2020.186554824. </w:t>
      </w:r>
      <w:proofErr w:type="spellStart"/>
      <w:r w:rsidRPr="00874A99">
        <w:rPr>
          <w:rFonts w:ascii="Garamond" w:eastAsia="Roboto" w:hAnsi="Garamond" w:cs="Roboto"/>
          <w:color w:val="212121"/>
          <w:sz w:val="24"/>
          <w:szCs w:val="24"/>
          <w:lang w:val="en-US"/>
        </w:rPr>
        <w:t>Sonino</w:t>
      </w:r>
      <w:proofErr w:type="spellEnd"/>
      <w:r w:rsidRPr="00874A99">
        <w:rPr>
          <w:rFonts w:ascii="Garamond" w:eastAsia="Roboto" w:hAnsi="Garamond" w:cs="Roboto"/>
          <w:color w:val="212121"/>
          <w:sz w:val="24"/>
          <w:szCs w:val="24"/>
          <w:lang w:val="en-US"/>
        </w:rPr>
        <w:t xml:space="preserve"> N, &amp; Fava GA. A simple instrument for assessing stress in clinical practice. Postgrad Med J. 1998;74(873):408–410.  </w:t>
      </w:r>
      <w:hyperlink r:id="rId28" w:history="1">
        <w:r w:rsidRPr="00874A99">
          <w:rPr>
            <w:rStyle w:val="Collegamentoipertestuale"/>
            <w:rFonts w:ascii="Garamond" w:eastAsia="Roboto" w:hAnsi="Garamond" w:cs="Roboto"/>
            <w:sz w:val="24"/>
            <w:szCs w:val="24"/>
            <w:lang w:val="it-IT"/>
          </w:rPr>
          <w:t>http://dx.doi.org/10.1136/pgmj.74.873.408</w:t>
        </w:r>
      </w:hyperlink>
      <w:r w:rsidRPr="00874A99">
        <w:rPr>
          <w:rFonts w:ascii="Garamond" w:eastAsia="Roboto" w:hAnsi="Garamond" w:cs="Roboto"/>
          <w:color w:val="212121"/>
          <w:sz w:val="24"/>
          <w:szCs w:val="24"/>
          <w:lang w:val="it-IT"/>
        </w:rPr>
        <w:t xml:space="preserve"> </w:t>
      </w:r>
    </w:p>
    <w:p w14:paraId="08B1A495" w14:textId="60FDCCCC"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Lopez, A., </w:t>
      </w:r>
      <w:proofErr w:type="spellStart"/>
      <w:r w:rsidRPr="00874A99">
        <w:rPr>
          <w:rFonts w:ascii="Garamond" w:eastAsia="Roboto" w:hAnsi="Garamond" w:cs="Roboto"/>
          <w:color w:val="212121"/>
          <w:sz w:val="24"/>
          <w:szCs w:val="24"/>
          <w:lang w:val="it-IT"/>
        </w:rPr>
        <w:t>Caffò</w:t>
      </w:r>
      <w:proofErr w:type="spellEnd"/>
      <w:r w:rsidRPr="00874A99">
        <w:rPr>
          <w:rFonts w:ascii="Garamond" w:eastAsia="Roboto" w:hAnsi="Garamond" w:cs="Roboto"/>
          <w:color w:val="212121"/>
          <w:sz w:val="24"/>
          <w:szCs w:val="24"/>
          <w:lang w:val="it-IT"/>
        </w:rPr>
        <w:t xml:space="preserve">, A. O., Tinella, L., Di Masi, M. N., &amp; Bosco, A. (2021). </w:t>
      </w:r>
      <w:r w:rsidRPr="00874A99">
        <w:rPr>
          <w:rFonts w:ascii="Garamond" w:eastAsia="Roboto" w:hAnsi="Garamond" w:cs="Roboto"/>
          <w:color w:val="212121"/>
          <w:sz w:val="24"/>
          <w:szCs w:val="24"/>
          <w:lang w:val="en-US"/>
        </w:rPr>
        <w:t xml:space="preserve">Variations in mindfulness associated with the COVID-19 outbreak: Differential effects on cognitive failures, intrusive </w:t>
      </w:r>
      <w:proofErr w:type="gramStart"/>
      <w:r w:rsidRPr="00874A99">
        <w:rPr>
          <w:rFonts w:ascii="Garamond" w:eastAsia="Roboto" w:hAnsi="Garamond" w:cs="Roboto"/>
          <w:color w:val="212121"/>
          <w:sz w:val="24"/>
          <w:szCs w:val="24"/>
          <w:lang w:val="en-US"/>
        </w:rPr>
        <w:t>thoughts</w:t>
      </w:r>
      <w:proofErr w:type="gramEnd"/>
      <w:r w:rsidRPr="00874A99">
        <w:rPr>
          <w:rFonts w:ascii="Garamond" w:eastAsia="Roboto" w:hAnsi="Garamond" w:cs="Roboto"/>
          <w:color w:val="212121"/>
          <w:sz w:val="24"/>
          <w:szCs w:val="24"/>
          <w:lang w:val="en-US"/>
        </w:rPr>
        <w:t xml:space="preserve"> and rumination. Applied psychology. Health and well-being, 13(4), 761–780. </w:t>
      </w:r>
      <w:hyperlink r:id="rId29" w:history="1">
        <w:r w:rsidRPr="00874A99">
          <w:rPr>
            <w:rStyle w:val="Collegamentoipertestuale"/>
            <w:rFonts w:ascii="Garamond" w:eastAsia="Roboto" w:hAnsi="Garamond" w:cs="Roboto"/>
            <w:sz w:val="24"/>
            <w:szCs w:val="24"/>
            <w:lang w:val="en-US"/>
          </w:rPr>
          <w:t>https://doi.org/10.1111/aphw.12268</w:t>
        </w:r>
      </w:hyperlink>
      <w:r w:rsidRPr="00874A99">
        <w:rPr>
          <w:rFonts w:ascii="Garamond" w:eastAsia="Roboto" w:hAnsi="Garamond" w:cs="Roboto"/>
          <w:color w:val="212121"/>
          <w:sz w:val="24"/>
          <w:szCs w:val="24"/>
          <w:lang w:val="en-US"/>
        </w:rPr>
        <w:t xml:space="preserve"> </w:t>
      </w:r>
    </w:p>
    <w:p w14:paraId="03A6AA92" w14:textId="6C5A65AF" w:rsidR="00C70414" w:rsidRPr="00874A99" w:rsidRDefault="00C70414"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Lowe, S. R., </w:t>
      </w:r>
      <w:proofErr w:type="spellStart"/>
      <w:r w:rsidRPr="00874A99">
        <w:rPr>
          <w:rFonts w:ascii="Garamond" w:eastAsia="Roboto" w:hAnsi="Garamond" w:cs="Roboto"/>
          <w:color w:val="212121"/>
          <w:sz w:val="24"/>
          <w:szCs w:val="24"/>
          <w:lang w:val="en-US"/>
        </w:rPr>
        <w:t>Hennein</w:t>
      </w:r>
      <w:proofErr w:type="spellEnd"/>
      <w:r w:rsidRPr="00874A99">
        <w:rPr>
          <w:rFonts w:ascii="Garamond" w:eastAsia="Roboto" w:hAnsi="Garamond" w:cs="Roboto"/>
          <w:color w:val="212121"/>
          <w:sz w:val="24"/>
          <w:szCs w:val="24"/>
          <w:lang w:val="en-US"/>
        </w:rPr>
        <w:t xml:space="preserve">, R., Feingold, J. H., </w:t>
      </w:r>
      <w:proofErr w:type="spellStart"/>
      <w:r w:rsidRPr="00874A99">
        <w:rPr>
          <w:rFonts w:ascii="Garamond" w:eastAsia="Roboto" w:hAnsi="Garamond" w:cs="Roboto"/>
          <w:color w:val="212121"/>
          <w:sz w:val="24"/>
          <w:szCs w:val="24"/>
          <w:lang w:val="en-US"/>
        </w:rPr>
        <w:t>Peccoralo</w:t>
      </w:r>
      <w:proofErr w:type="spellEnd"/>
      <w:r w:rsidRPr="00874A99">
        <w:rPr>
          <w:rFonts w:ascii="Garamond" w:eastAsia="Roboto" w:hAnsi="Garamond" w:cs="Roboto"/>
          <w:color w:val="212121"/>
          <w:sz w:val="24"/>
          <w:szCs w:val="24"/>
          <w:lang w:val="en-US"/>
        </w:rPr>
        <w:t xml:space="preserve">, L. A., </w:t>
      </w:r>
      <w:proofErr w:type="spellStart"/>
      <w:r w:rsidRPr="00874A99">
        <w:rPr>
          <w:rFonts w:ascii="Garamond" w:eastAsia="Roboto" w:hAnsi="Garamond" w:cs="Roboto"/>
          <w:color w:val="212121"/>
          <w:sz w:val="24"/>
          <w:szCs w:val="24"/>
          <w:lang w:val="en-US"/>
        </w:rPr>
        <w:t>Ripp</w:t>
      </w:r>
      <w:proofErr w:type="spellEnd"/>
      <w:r w:rsidRPr="00874A99">
        <w:rPr>
          <w:rFonts w:ascii="Garamond" w:eastAsia="Roboto" w:hAnsi="Garamond" w:cs="Roboto"/>
          <w:color w:val="212121"/>
          <w:sz w:val="24"/>
          <w:szCs w:val="24"/>
          <w:lang w:val="en-US"/>
        </w:rPr>
        <w:t xml:space="preserve">, J. A., </w:t>
      </w:r>
      <w:proofErr w:type="spellStart"/>
      <w:r w:rsidRPr="00874A99">
        <w:rPr>
          <w:rFonts w:ascii="Garamond" w:eastAsia="Roboto" w:hAnsi="Garamond" w:cs="Roboto"/>
          <w:color w:val="212121"/>
          <w:sz w:val="24"/>
          <w:szCs w:val="24"/>
          <w:lang w:val="en-US"/>
        </w:rPr>
        <w:t>Mazure</w:t>
      </w:r>
      <w:proofErr w:type="spellEnd"/>
      <w:r w:rsidRPr="00874A99">
        <w:rPr>
          <w:rFonts w:ascii="Garamond" w:eastAsia="Roboto" w:hAnsi="Garamond" w:cs="Roboto"/>
          <w:color w:val="212121"/>
          <w:sz w:val="24"/>
          <w:szCs w:val="24"/>
          <w:lang w:val="en-US"/>
        </w:rPr>
        <w:t xml:space="preserve">, C. M., &amp; </w:t>
      </w:r>
      <w:proofErr w:type="spellStart"/>
      <w:r w:rsidRPr="00874A99">
        <w:rPr>
          <w:rFonts w:ascii="Garamond" w:eastAsia="Roboto" w:hAnsi="Garamond" w:cs="Roboto"/>
          <w:color w:val="212121"/>
          <w:sz w:val="24"/>
          <w:szCs w:val="24"/>
          <w:lang w:val="en-US"/>
        </w:rPr>
        <w:t>Pietrzak</w:t>
      </w:r>
      <w:proofErr w:type="spellEnd"/>
      <w:r w:rsidRPr="00874A99">
        <w:rPr>
          <w:rFonts w:ascii="Garamond" w:eastAsia="Roboto" w:hAnsi="Garamond" w:cs="Roboto"/>
          <w:color w:val="212121"/>
          <w:sz w:val="24"/>
          <w:szCs w:val="24"/>
          <w:lang w:val="en-US"/>
        </w:rPr>
        <w:t xml:space="preserve">, R. H. (2021). Are Women Less Psychologically Resilient Than Men? Background Stressors Underlying Gender Differences in Reports of Stress-Related Psychological Sequelae. The Journal of clinical psychiatry, 83(1), 21br14098. </w:t>
      </w:r>
      <w:hyperlink r:id="rId30" w:history="1">
        <w:r w:rsidRPr="00874A99">
          <w:rPr>
            <w:rStyle w:val="Collegamentoipertestuale"/>
            <w:rFonts w:ascii="Garamond" w:eastAsia="Roboto" w:hAnsi="Garamond" w:cs="Roboto"/>
            <w:sz w:val="24"/>
            <w:szCs w:val="24"/>
            <w:lang w:val="en-US"/>
          </w:rPr>
          <w:t>https://doi.org/10.4088/JCP.21br14098</w:t>
        </w:r>
      </w:hyperlink>
      <w:r w:rsidRPr="00874A99">
        <w:rPr>
          <w:rFonts w:ascii="Garamond" w:eastAsia="Roboto" w:hAnsi="Garamond" w:cs="Roboto"/>
          <w:color w:val="212121"/>
          <w:sz w:val="24"/>
          <w:szCs w:val="24"/>
          <w:lang w:val="en-US"/>
        </w:rPr>
        <w:t xml:space="preserve"> </w:t>
      </w:r>
    </w:p>
    <w:p w14:paraId="552CAB6B" w14:textId="1A581944"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Mac </w:t>
      </w:r>
      <w:proofErr w:type="spellStart"/>
      <w:r w:rsidRPr="00874A99">
        <w:rPr>
          <w:rFonts w:ascii="Garamond" w:eastAsia="Roboto" w:hAnsi="Garamond" w:cs="Roboto"/>
          <w:color w:val="212121"/>
          <w:sz w:val="24"/>
          <w:szCs w:val="24"/>
          <w:lang w:val="it-IT"/>
        </w:rPr>
        <w:t>Giolla</w:t>
      </w:r>
      <w:proofErr w:type="spellEnd"/>
      <w:r w:rsidRPr="00874A99">
        <w:rPr>
          <w:rFonts w:ascii="Garamond" w:eastAsia="Roboto" w:hAnsi="Garamond" w:cs="Roboto"/>
          <w:color w:val="212121"/>
          <w:sz w:val="24"/>
          <w:szCs w:val="24"/>
          <w:lang w:val="it-IT"/>
        </w:rPr>
        <w:t xml:space="preserve">, E., &amp; </w:t>
      </w:r>
      <w:proofErr w:type="spellStart"/>
      <w:r w:rsidRPr="00874A99">
        <w:rPr>
          <w:rFonts w:ascii="Garamond" w:eastAsia="Roboto" w:hAnsi="Garamond" w:cs="Roboto"/>
          <w:color w:val="212121"/>
          <w:sz w:val="24"/>
          <w:szCs w:val="24"/>
          <w:lang w:val="it-IT"/>
        </w:rPr>
        <w:t>Kajonius</w:t>
      </w:r>
      <w:proofErr w:type="spellEnd"/>
      <w:r w:rsidRPr="00874A99">
        <w:rPr>
          <w:rFonts w:ascii="Garamond" w:eastAsia="Roboto" w:hAnsi="Garamond" w:cs="Roboto"/>
          <w:color w:val="212121"/>
          <w:sz w:val="24"/>
          <w:szCs w:val="24"/>
          <w:lang w:val="it-IT"/>
        </w:rPr>
        <w:t xml:space="preserve">, P. J. (2019). </w:t>
      </w:r>
      <w:r w:rsidRPr="00874A99">
        <w:rPr>
          <w:rFonts w:ascii="Garamond" w:eastAsia="Roboto" w:hAnsi="Garamond" w:cs="Roboto"/>
          <w:color w:val="212121"/>
          <w:sz w:val="24"/>
          <w:szCs w:val="24"/>
          <w:lang w:val="en-US"/>
        </w:rPr>
        <w:t xml:space="preserve">Sex differences in personality are larger in gender equal countries: Replicating and extending a surprising finding. International journal of </w:t>
      </w:r>
      <w:proofErr w:type="gramStart"/>
      <w:r w:rsidRPr="00874A99">
        <w:rPr>
          <w:rFonts w:ascii="Garamond" w:eastAsia="Roboto" w:hAnsi="Garamond" w:cs="Roboto"/>
          <w:color w:val="212121"/>
          <w:sz w:val="24"/>
          <w:szCs w:val="24"/>
          <w:lang w:val="en-US"/>
        </w:rPr>
        <w:t>psychology :</w:t>
      </w:r>
      <w:proofErr w:type="gramEnd"/>
      <w:r w:rsidRPr="00874A99">
        <w:rPr>
          <w:rFonts w:ascii="Garamond" w:eastAsia="Roboto" w:hAnsi="Garamond" w:cs="Roboto"/>
          <w:color w:val="212121"/>
          <w:sz w:val="24"/>
          <w:szCs w:val="24"/>
          <w:lang w:val="en-US"/>
        </w:rPr>
        <w:t xml:space="preserve"> Journal international de </w:t>
      </w:r>
      <w:proofErr w:type="spellStart"/>
      <w:r w:rsidRPr="00874A99">
        <w:rPr>
          <w:rFonts w:ascii="Garamond" w:eastAsia="Roboto" w:hAnsi="Garamond" w:cs="Roboto"/>
          <w:color w:val="212121"/>
          <w:sz w:val="24"/>
          <w:szCs w:val="24"/>
          <w:lang w:val="en-US"/>
        </w:rPr>
        <w:t>psychologie</w:t>
      </w:r>
      <w:proofErr w:type="spellEnd"/>
      <w:r w:rsidRPr="00874A99">
        <w:rPr>
          <w:rFonts w:ascii="Garamond" w:eastAsia="Roboto" w:hAnsi="Garamond" w:cs="Roboto"/>
          <w:color w:val="212121"/>
          <w:sz w:val="24"/>
          <w:szCs w:val="24"/>
          <w:lang w:val="en-US"/>
        </w:rPr>
        <w:t xml:space="preserve">, 54(6), 705–711. </w:t>
      </w:r>
      <w:hyperlink r:id="rId31" w:history="1">
        <w:r w:rsidRPr="00874A99">
          <w:rPr>
            <w:rStyle w:val="Collegamentoipertestuale"/>
            <w:rFonts w:ascii="Garamond" w:eastAsia="Roboto" w:hAnsi="Garamond" w:cs="Roboto"/>
            <w:sz w:val="24"/>
            <w:szCs w:val="24"/>
            <w:lang w:val="en-US"/>
          </w:rPr>
          <w:t>https://doi.org/10.1002/ijop.12529</w:t>
        </w:r>
      </w:hyperlink>
      <w:r w:rsidRPr="00874A99">
        <w:rPr>
          <w:rFonts w:ascii="Garamond" w:eastAsia="Roboto" w:hAnsi="Garamond" w:cs="Roboto"/>
          <w:color w:val="212121"/>
          <w:sz w:val="24"/>
          <w:szCs w:val="24"/>
          <w:lang w:val="en-US"/>
        </w:rPr>
        <w:t xml:space="preserve"> </w:t>
      </w:r>
    </w:p>
    <w:p w14:paraId="5162BB1F" w14:textId="541C2B23" w:rsidR="009A37F8" w:rsidRPr="00C57903"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lastRenderedPageBreak/>
        <w:t>Mazza, M. G., De Lorenzo, R., Conte, C., Poletti, S., Vai, B., Bollettini, I., Melloni, E. M. T., Furlan, R., Ciceri, F., Rovere-</w:t>
      </w:r>
      <w:proofErr w:type="spellStart"/>
      <w:r w:rsidRPr="00874A99">
        <w:rPr>
          <w:rFonts w:ascii="Garamond" w:eastAsia="Roboto" w:hAnsi="Garamond" w:cs="Roboto"/>
          <w:color w:val="212121"/>
          <w:sz w:val="24"/>
          <w:szCs w:val="24"/>
          <w:lang w:val="it-IT"/>
        </w:rPr>
        <w:t>Querini</w:t>
      </w:r>
      <w:proofErr w:type="spellEnd"/>
      <w:r w:rsidRPr="00874A99">
        <w:rPr>
          <w:rFonts w:ascii="Garamond" w:eastAsia="Roboto" w:hAnsi="Garamond" w:cs="Roboto"/>
          <w:color w:val="212121"/>
          <w:sz w:val="24"/>
          <w:szCs w:val="24"/>
          <w:lang w:val="it-IT"/>
        </w:rPr>
        <w:t xml:space="preserve">, P., COVID-19 </w:t>
      </w:r>
      <w:proofErr w:type="spellStart"/>
      <w:r w:rsidRPr="00874A99">
        <w:rPr>
          <w:rFonts w:ascii="Garamond" w:eastAsia="Roboto" w:hAnsi="Garamond" w:cs="Roboto"/>
          <w:color w:val="212121"/>
          <w:sz w:val="24"/>
          <w:szCs w:val="24"/>
          <w:lang w:val="it-IT"/>
        </w:rPr>
        <w:t>BioB</w:t>
      </w:r>
      <w:proofErr w:type="spellEnd"/>
      <w:r w:rsidRPr="00874A99">
        <w:rPr>
          <w:rFonts w:ascii="Garamond" w:eastAsia="Roboto" w:hAnsi="Garamond" w:cs="Roboto"/>
          <w:color w:val="212121"/>
          <w:sz w:val="24"/>
          <w:szCs w:val="24"/>
          <w:lang w:val="it-IT"/>
        </w:rPr>
        <w:t xml:space="preserve"> </w:t>
      </w:r>
      <w:proofErr w:type="spellStart"/>
      <w:r w:rsidRPr="00874A99">
        <w:rPr>
          <w:rFonts w:ascii="Garamond" w:eastAsia="Roboto" w:hAnsi="Garamond" w:cs="Roboto"/>
          <w:color w:val="212121"/>
          <w:sz w:val="24"/>
          <w:szCs w:val="24"/>
          <w:lang w:val="it-IT"/>
        </w:rPr>
        <w:t>Outpatient</w:t>
      </w:r>
      <w:proofErr w:type="spellEnd"/>
      <w:r w:rsidRPr="00874A99">
        <w:rPr>
          <w:rFonts w:ascii="Garamond" w:eastAsia="Roboto" w:hAnsi="Garamond" w:cs="Roboto"/>
          <w:color w:val="212121"/>
          <w:sz w:val="24"/>
          <w:szCs w:val="24"/>
          <w:lang w:val="it-IT"/>
        </w:rPr>
        <w:t xml:space="preserve"> Clinic Study group, &amp; Benedetti, F. (2020). </w:t>
      </w:r>
      <w:r w:rsidRPr="00874A99">
        <w:rPr>
          <w:rFonts w:ascii="Garamond" w:eastAsia="Roboto" w:hAnsi="Garamond" w:cs="Roboto"/>
          <w:color w:val="212121"/>
          <w:sz w:val="24"/>
          <w:szCs w:val="24"/>
          <w:lang w:val="en-US"/>
        </w:rPr>
        <w:t xml:space="preserve">Anxiety and depression in COVID-19 survivors: Role of inflammatory and clinical predictors. </w:t>
      </w:r>
      <w:r w:rsidRPr="00C57903">
        <w:rPr>
          <w:rFonts w:ascii="Garamond" w:eastAsia="Roboto" w:hAnsi="Garamond" w:cs="Roboto"/>
          <w:color w:val="212121"/>
          <w:sz w:val="24"/>
          <w:szCs w:val="24"/>
          <w:lang w:val="en-US"/>
        </w:rPr>
        <w:t xml:space="preserve">Brain, behavior, and immunity, 89, 594–600. </w:t>
      </w:r>
      <w:hyperlink r:id="rId32" w:history="1">
        <w:r w:rsidRPr="00C57903">
          <w:rPr>
            <w:rStyle w:val="Collegamentoipertestuale"/>
            <w:rFonts w:ascii="Garamond" w:eastAsia="Roboto" w:hAnsi="Garamond" w:cs="Roboto"/>
            <w:sz w:val="24"/>
            <w:szCs w:val="24"/>
            <w:lang w:val="en-US"/>
          </w:rPr>
          <w:t>https://doi.org/10.1016/j.bbi.2020.07.037</w:t>
        </w:r>
      </w:hyperlink>
      <w:r w:rsidRPr="00C57903">
        <w:rPr>
          <w:rFonts w:ascii="Garamond" w:eastAsia="Roboto" w:hAnsi="Garamond" w:cs="Roboto"/>
          <w:color w:val="212121"/>
          <w:sz w:val="24"/>
          <w:szCs w:val="24"/>
          <w:lang w:val="en-US"/>
        </w:rPr>
        <w:t xml:space="preserve"> </w:t>
      </w:r>
    </w:p>
    <w:p w14:paraId="57AFC9C3" w14:textId="46A7BC56"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McCrae RR, &amp; Costa PT. (2004). A contemplated revision of the NEO Five-Factor Inventory. Personality and Individual Differences. 36(3):587–596. </w:t>
      </w:r>
      <w:hyperlink r:id="rId33" w:history="1">
        <w:r w:rsidRPr="00874A99">
          <w:rPr>
            <w:rStyle w:val="Collegamentoipertestuale"/>
            <w:rFonts w:ascii="Garamond" w:eastAsia="Roboto" w:hAnsi="Garamond" w:cs="Roboto"/>
            <w:sz w:val="24"/>
            <w:szCs w:val="24"/>
            <w:lang w:val="en-US"/>
          </w:rPr>
          <w:t>https://doi.org/10.1016/S0191-8869(03)00118-1</w:t>
        </w:r>
      </w:hyperlink>
    </w:p>
    <w:p w14:paraId="2F43515F" w14:textId="3C5E62FB" w:rsidR="009A37F8" w:rsidRPr="00874A99" w:rsidRDefault="009A37F8"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Michelen</w:t>
      </w:r>
      <w:proofErr w:type="spellEnd"/>
      <w:r w:rsidRPr="00874A99">
        <w:rPr>
          <w:rFonts w:ascii="Garamond" w:eastAsia="Roboto" w:hAnsi="Garamond" w:cs="Roboto"/>
          <w:color w:val="212121"/>
          <w:sz w:val="24"/>
          <w:szCs w:val="24"/>
          <w:lang w:val="en-US"/>
        </w:rPr>
        <w:t xml:space="preserve">, M., Manoharan, L., </w:t>
      </w:r>
      <w:proofErr w:type="spellStart"/>
      <w:r w:rsidRPr="00874A99">
        <w:rPr>
          <w:rFonts w:ascii="Garamond" w:eastAsia="Roboto" w:hAnsi="Garamond" w:cs="Roboto"/>
          <w:color w:val="212121"/>
          <w:sz w:val="24"/>
          <w:szCs w:val="24"/>
          <w:lang w:val="en-US"/>
        </w:rPr>
        <w:t>Elkheir</w:t>
      </w:r>
      <w:proofErr w:type="spellEnd"/>
      <w:r w:rsidRPr="00874A99">
        <w:rPr>
          <w:rFonts w:ascii="Garamond" w:eastAsia="Roboto" w:hAnsi="Garamond" w:cs="Roboto"/>
          <w:color w:val="212121"/>
          <w:sz w:val="24"/>
          <w:szCs w:val="24"/>
          <w:lang w:val="en-US"/>
        </w:rPr>
        <w:t xml:space="preserve">, N., Cheng, V., </w:t>
      </w:r>
      <w:proofErr w:type="spellStart"/>
      <w:r w:rsidRPr="00874A99">
        <w:rPr>
          <w:rFonts w:ascii="Garamond" w:eastAsia="Roboto" w:hAnsi="Garamond" w:cs="Roboto"/>
          <w:color w:val="212121"/>
          <w:sz w:val="24"/>
          <w:szCs w:val="24"/>
          <w:lang w:val="en-US"/>
        </w:rPr>
        <w:t>Dagens</w:t>
      </w:r>
      <w:proofErr w:type="spellEnd"/>
      <w:r w:rsidRPr="00874A99">
        <w:rPr>
          <w:rFonts w:ascii="Garamond" w:eastAsia="Roboto" w:hAnsi="Garamond" w:cs="Roboto"/>
          <w:color w:val="212121"/>
          <w:sz w:val="24"/>
          <w:szCs w:val="24"/>
          <w:lang w:val="en-US"/>
        </w:rPr>
        <w:t xml:space="preserve">, A., Hastie, C., O'Hara, M., </w:t>
      </w:r>
      <w:proofErr w:type="spellStart"/>
      <w:r w:rsidRPr="00874A99">
        <w:rPr>
          <w:rFonts w:ascii="Garamond" w:eastAsia="Roboto" w:hAnsi="Garamond" w:cs="Roboto"/>
          <w:color w:val="212121"/>
          <w:sz w:val="24"/>
          <w:szCs w:val="24"/>
          <w:lang w:val="en-US"/>
        </w:rPr>
        <w:t>Suett</w:t>
      </w:r>
      <w:proofErr w:type="spellEnd"/>
      <w:r w:rsidRPr="00874A99">
        <w:rPr>
          <w:rFonts w:ascii="Garamond" w:eastAsia="Roboto" w:hAnsi="Garamond" w:cs="Roboto"/>
          <w:color w:val="212121"/>
          <w:sz w:val="24"/>
          <w:szCs w:val="24"/>
          <w:lang w:val="en-US"/>
        </w:rPr>
        <w:t xml:space="preserve">, J., </w:t>
      </w:r>
      <w:proofErr w:type="spellStart"/>
      <w:r w:rsidRPr="00874A99">
        <w:rPr>
          <w:rFonts w:ascii="Garamond" w:eastAsia="Roboto" w:hAnsi="Garamond" w:cs="Roboto"/>
          <w:color w:val="212121"/>
          <w:sz w:val="24"/>
          <w:szCs w:val="24"/>
          <w:lang w:val="en-US"/>
        </w:rPr>
        <w:t>Dahmash</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Bugaeva</w:t>
      </w:r>
      <w:proofErr w:type="spellEnd"/>
      <w:r w:rsidRPr="00874A99">
        <w:rPr>
          <w:rFonts w:ascii="Garamond" w:eastAsia="Roboto" w:hAnsi="Garamond" w:cs="Roboto"/>
          <w:color w:val="212121"/>
          <w:sz w:val="24"/>
          <w:szCs w:val="24"/>
          <w:lang w:val="en-US"/>
        </w:rPr>
        <w:t xml:space="preserve">, P., Rigby, I., </w:t>
      </w:r>
      <w:proofErr w:type="spellStart"/>
      <w:r w:rsidRPr="00874A99">
        <w:rPr>
          <w:rFonts w:ascii="Garamond" w:eastAsia="Roboto" w:hAnsi="Garamond" w:cs="Roboto"/>
          <w:color w:val="212121"/>
          <w:sz w:val="24"/>
          <w:szCs w:val="24"/>
          <w:lang w:val="en-US"/>
        </w:rPr>
        <w:t>Munblit</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Harriss</w:t>
      </w:r>
      <w:proofErr w:type="spellEnd"/>
      <w:r w:rsidRPr="00874A99">
        <w:rPr>
          <w:rFonts w:ascii="Garamond" w:eastAsia="Roboto" w:hAnsi="Garamond" w:cs="Roboto"/>
          <w:color w:val="212121"/>
          <w:sz w:val="24"/>
          <w:szCs w:val="24"/>
          <w:lang w:val="en-US"/>
        </w:rPr>
        <w:t xml:space="preserve">, E., Burls, A., Foote, C., Scott, J., Carson, G., </w:t>
      </w:r>
      <w:proofErr w:type="spellStart"/>
      <w:r w:rsidRPr="00874A99">
        <w:rPr>
          <w:rFonts w:ascii="Garamond" w:eastAsia="Roboto" w:hAnsi="Garamond" w:cs="Roboto"/>
          <w:color w:val="212121"/>
          <w:sz w:val="24"/>
          <w:szCs w:val="24"/>
          <w:lang w:val="en-US"/>
        </w:rPr>
        <w:t>Olliaro</w:t>
      </w:r>
      <w:proofErr w:type="spellEnd"/>
      <w:r w:rsidRPr="00874A99">
        <w:rPr>
          <w:rFonts w:ascii="Garamond" w:eastAsia="Roboto" w:hAnsi="Garamond" w:cs="Roboto"/>
          <w:color w:val="212121"/>
          <w:sz w:val="24"/>
          <w:szCs w:val="24"/>
          <w:lang w:val="en-US"/>
        </w:rPr>
        <w:t xml:space="preserve">, P., </w:t>
      </w:r>
      <w:proofErr w:type="spellStart"/>
      <w:r w:rsidRPr="00874A99">
        <w:rPr>
          <w:rFonts w:ascii="Garamond" w:eastAsia="Roboto" w:hAnsi="Garamond" w:cs="Roboto"/>
          <w:color w:val="212121"/>
          <w:sz w:val="24"/>
          <w:szCs w:val="24"/>
          <w:lang w:val="en-US"/>
        </w:rPr>
        <w:t>Sigfrid</w:t>
      </w:r>
      <w:proofErr w:type="spellEnd"/>
      <w:r w:rsidRPr="00874A99">
        <w:rPr>
          <w:rFonts w:ascii="Garamond" w:eastAsia="Roboto" w:hAnsi="Garamond" w:cs="Roboto"/>
          <w:color w:val="212121"/>
          <w:sz w:val="24"/>
          <w:szCs w:val="24"/>
          <w:lang w:val="en-US"/>
        </w:rPr>
        <w:t xml:space="preserve">, L., &amp; </w:t>
      </w:r>
      <w:proofErr w:type="spellStart"/>
      <w:r w:rsidRPr="00874A99">
        <w:rPr>
          <w:rFonts w:ascii="Garamond" w:eastAsia="Roboto" w:hAnsi="Garamond" w:cs="Roboto"/>
          <w:color w:val="212121"/>
          <w:sz w:val="24"/>
          <w:szCs w:val="24"/>
          <w:lang w:val="en-US"/>
        </w:rPr>
        <w:t>Stavropoulou</w:t>
      </w:r>
      <w:proofErr w:type="spellEnd"/>
      <w:r w:rsidRPr="00874A99">
        <w:rPr>
          <w:rFonts w:ascii="Garamond" w:eastAsia="Roboto" w:hAnsi="Garamond" w:cs="Roboto"/>
          <w:color w:val="212121"/>
          <w:sz w:val="24"/>
          <w:szCs w:val="24"/>
          <w:lang w:val="en-US"/>
        </w:rPr>
        <w:t xml:space="preserve">, C. (2021). </w:t>
      </w:r>
      <w:proofErr w:type="spellStart"/>
      <w:r w:rsidRPr="00874A99">
        <w:rPr>
          <w:rFonts w:ascii="Garamond" w:eastAsia="Roboto" w:hAnsi="Garamond" w:cs="Roboto"/>
          <w:color w:val="212121"/>
          <w:sz w:val="24"/>
          <w:szCs w:val="24"/>
          <w:lang w:val="en-US"/>
        </w:rPr>
        <w:t>Characterising</w:t>
      </w:r>
      <w:proofErr w:type="spellEnd"/>
      <w:r w:rsidRPr="00874A99">
        <w:rPr>
          <w:rFonts w:ascii="Garamond" w:eastAsia="Roboto" w:hAnsi="Garamond" w:cs="Roboto"/>
          <w:color w:val="212121"/>
          <w:sz w:val="24"/>
          <w:szCs w:val="24"/>
          <w:lang w:val="en-US"/>
        </w:rPr>
        <w:t xml:space="preserve"> long COVID: a living systematic review. BMJ global health, 6(9), e005427. </w:t>
      </w:r>
      <w:hyperlink r:id="rId34" w:history="1">
        <w:r w:rsidRPr="00874A99">
          <w:rPr>
            <w:rStyle w:val="Collegamentoipertestuale"/>
            <w:rFonts w:ascii="Garamond" w:eastAsia="Roboto" w:hAnsi="Garamond" w:cs="Roboto"/>
            <w:sz w:val="24"/>
            <w:szCs w:val="24"/>
            <w:lang w:val="en-US"/>
          </w:rPr>
          <w:t>https://doi.org/10.1136/bmjgh-2021-005427</w:t>
        </w:r>
      </w:hyperlink>
      <w:r w:rsidRPr="00874A99">
        <w:rPr>
          <w:rFonts w:ascii="Garamond" w:eastAsia="Roboto" w:hAnsi="Garamond" w:cs="Roboto"/>
          <w:color w:val="212121"/>
          <w:sz w:val="24"/>
          <w:szCs w:val="24"/>
          <w:lang w:val="en-US"/>
        </w:rPr>
        <w:t xml:space="preserve"> </w:t>
      </w:r>
    </w:p>
    <w:p w14:paraId="151045A1" w14:textId="2EA1F25D"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Mohamed, M. S., Moulin, T. C., &amp; </w:t>
      </w:r>
      <w:proofErr w:type="spellStart"/>
      <w:r w:rsidRPr="00874A99">
        <w:rPr>
          <w:rFonts w:ascii="Garamond" w:eastAsia="Roboto" w:hAnsi="Garamond" w:cs="Roboto"/>
          <w:color w:val="212121"/>
          <w:sz w:val="24"/>
          <w:szCs w:val="24"/>
          <w:lang w:val="en-US"/>
        </w:rPr>
        <w:t>Schiöth</w:t>
      </w:r>
      <w:proofErr w:type="spellEnd"/>
      <w:r w:rsidRPr="00874A99">
        <w:rPr>
          <w:rFonts w:ascii="Garamond" w:eastAsia="Roboto" w:hAnsi="Garamond" w:cs="Roboto"/>
          <w:color w:val="212121"/>
          <w:sz w:val="24"/>
          <w:szCs w:val="24"/>
          <w:lang w:val="en-US"/>
        </w:rPr>
        <w:t xml:space="preserve">, H. B. (2021). Sex differences in COVID-19: the role of androgens in disease severity and progression. Endocrine, 71(1), 3–8. </w:t>
      </w:r>
      <w:hyperlink r:id="rId35" w:history="1">
        <w:r w:rsidRPr="00874A99">
          <w:rPr>
            <w:rStyle w:val="Collegamentoipertestuale"/>
            <w:rFonts w:ascii="Garamond" w:eastAsia="Roboto" w:hAnsi="Garamond" w:cs="Roboto"/>
            <w:sz w:val="24"/>
            <w:szCs w:val="24"/>
            <w:lang w:val="en-US"/>
          </w:rPr>
          <w:t>https://doi.org/10.1007/s12020-020-02536-6</w:t>
        </w:r>
      </w:hyperlink>
    </w:p>
    <w:p w14:paraId="2C4BF23A" w14:textId="77777777" w:rsidR="009A37F8" w:rsidRPr="00874A99"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National Institute for Health and Care Excellence. COVID-19 rapid guideline: managing the long-term effects of COVID-19 NICE guideline. </w:t>
      </w:r>
      <w:r w:rsidRPr="00874A99">
        <w:rPr>
          <w:rFonts w:ascii="Garamond" w:eastAsia="Roboto" w:hAnsi="Garamond" w:cs="Roboto"/>
          <w:color w:val="212121"/>
          <w:sz w:val="24"/>
          <w:szCs w:val="24"/>
          <w:lang w:val="it-IT"/>
        </w:rPr>
        <w:t xml:space="preserve">2020. https://www.nice.org.uk/guidance/ng188. </w:t>
      </w:r>
      <w:proofErr w:type="spellStart"/>
      <w:r w:rsidRPr="00874A99">
        <w:rPr>
          <w:rFonts w:ascii="Garamond" w:eastAsia="Roboto" w:hAnsi="Garamond" w:cs="Roboto"/>
          <w:color w:val="212121"/>
          <w:sz w:val="24"/>
          <w:szCs w:val="24"/>
          <w:lang w:val="it-IT"/>
        </w:rPr>
        <w:t>Accessed</w:t>
      </w:r>
      <w:proofErr w:type="spellEnd"/>
      <w:r w:rsidRPr="00874A99">
        <w:rPr>
          <w:rFonts w:ascii="Garamond" w:eastAsia="Roboto" w:hAnsi="Garamond" w:cs="Roboto"/>
          <w:color w:val="212121"/>
          <w:sz w:val="24"/>
          <w:szCs w:val="24"/>
          <w:lang w:val="it-IT"/>
        </w:rPr>
        <w:t xml:space="preserve"> 01 </w:t>
      </w:r>
      <w:proofErr w:type="spellStart"/>
      <w:r w:rsidRPr="00874A99">
        <w:rPr>
          <w:rFonts w:ascii="Garamond" w:eastAsia="Roboto" w:hAnsi="Garamond" w:cs="Roboto"/>
          <w:color w:val="212121"/>
          <w:sz w:val="24"/>
          <w:szCs w:val="24"/>
          <w:lang w:val="it-IT"/>
        </w:rPr>
        <w:t>December</w:t>
      </w:r>
      <w:proofErr w:type="spellEnd"/>
      <w:r w:rsidRPr="00874A99">
        <w:rPr>
          <w:rFonts w:ascii="Garamond" w:eastAsia="Roboto" w:hAnsi="Garamond" w:cs="Roboto"/>
          <w:color w:val="212121"/>
          <w:sz w:val="24"/>
          <w:szCs w:val="24"/>
          <w:lang w:val="it-IT"/>
        </w:rPr>
        <w:t xml:space="preserve"> 2022</w:t>
      </w:r>
    </w:p>
    <w:p w14:paraId="78987282" w14:textId="56420EF9" w:rsidR="009A37F8" w:rsidRPr="00C57903"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Orrù, G., Bertelloni, D., Diolaiuti, F., Mucci, F., Di Giuseppe, M., Biella, M., Gemignani, A., </w:t>
      </w:r>
      <w:proofErr w:type="spellStart"/>
      <w:r w:rsidRPr="00874A99">
        <w:rPr>
          <w:rFonts w:ascii="Garamond" w:eastAsia="Roboto" w:hAnsi="Garamond" w:cs="Roboto"/>
          <w:color w:val="212121"/>
          <w:sz w:val="24"/>
          <w:szCs w:val="24"/>
          <w:lang w:val="it-IT"/>
        </w:rPr>
        <w:t>Ciacchini</w:t>
      </w:r>
      <w:proofErr w:type="spellEnd"/>
      <w:r w:rsidRPr="00874A99">
        <w:rPr>
          <w:rFonts w:ascii="Garamond" w:eastAsia="Roboto" w:hAnsi="Garamond" w:cs="Roboto"/>
          <w:color w:val="212121"/>
          <w:sz w:val="24"/>
          <w:szCs w:val="24"/>
          <w:lang w:val="it-IT"/>
        </w:rPr>
        <w:t xml:space="preserve">, R., &amp; Conversano, C. (2021). </w:t>
      </w:r>
      <w:r w:rsidRPr="00874A99">
        <w:rPr>
          <w:rFonts w:ascii="Garamond" w:eastAsia="Roboto" w:hAnsi="Garamond" w:cs="Roboto"/>
          <w:color w:val="212121"/>
          <w:sz w:val="24"/>
          <w:szCs w:val="24"/>
          <w:lang w:val="en-US"/>
        </w:rPr>
        <w:t xml:space="preserve">Long-COVID Syndrome? A Study on the Persistence of Neurological, Psychological and Physiological Symptoms. </w:t>
      </w:r>
      <w:r w:rsidRPr="00C57903">
        <w:rPr>
          <w:rFonts w:ascii="Garamond" w:eastAsia="Roboto" w:hAnsi="Garamond" w:cs="Roboto"/>
          <w:color w:val="212121"/>
          <w:sz w:val="24"/>
          <w:szCs w:val="24"/>
          <w:lang w:val="it-IT"/>
        </w:rPr>
        <w:t xml:space="preserve">Healthcare (Basel, </w:t>
      </w:r>
      <w:proofErr w:type="spellStart"/>
      <w:r w:rsidRPr="00C57903">
        <w:rPr>
          <w:rFonts w:ascii="Garamond" w:eastAsia="Roboto" w:hAnsi="Garamond" w:cs="Roboto"/>
          <w:color w:val="212121"/>
          <w:sz w:val="24"/>
          <w:szCs w:val="24"/>
          <w:lang w:val="it-IT"/>
        </w:rPr>
        <w:t>Switzerland</w:t>
      </w:r>
      <w:proofErr w:type="spellEnd"/>
      <w:r w:rsidRPr="00C57903">
        <w:rPr>
          <w:rFonts w:ascii="Garamond" w:eastAsia="Roboto" w:hAnsi="Garamond" w:cs="Roboto"/>
          <w:color w:val="212121"/>
          <w:sz w:val="24"/>
          <w:szCs w:val="24"/>
          <w:lang w:val="it-IT"/>
        </w:rPr>
        <w:t xml:space="preserve">), 9(5), 575. </w:t>
      </w:r>
      <w:hyperlink r:id="rId36" w:history="1">
        <w:r w:rsidRPr="00C57903">
          <w:rPr>
            <w:rStyle w:val="Collegamentoipertestuale"/>
            <w:rFonts w:ascii="Garamond" w:eastAsia="Roboto" w:hAnsi="Garamond" w:cs="Roboto"/>
            <w:sz w:val="24"/>
            <w:szCs w:val="24"/>
            <w:lang w:val="it-IT"/>
          </w:rPr>
          <w:t>https://doi.org/10.3390/healthcare9050575</w:t>
        </w:r>
      </w:hyperlink>
    </w:p>
    <w:p w14:paraId="3F4546BE" w14:textId="13275BCB" w:rsidR="00C70414" w:rsidRPr="00874A99" w:rsidRDefault="00C70414"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Petito, A., Severo, A., Principe, A.M., Ventriglio, A., </w:t>
      </w:r>
      <w:proofErr w:type="spellStart"/>
      <w:r w:rsidRPr="00874A99">
        <w:rPr>
          <w:rFonts w:ascii="Garamond" w:eastAsia="Roboto" w:hAnsi="Garamond" w:cs="Roboto"/>
          <w:color w:val="212121"/>
          <w:sz w:val="24"/>
          <w:szCs w:val="24"/>
          <w:lang w:val="it-IT"/>
        </w:rPr>
        <w:t>Cinnella</w:t>
      </w:r>
      <w:proofErr w:type="spellEnd"/>
      <w:r w:rsidRPr="00874A99">
        <w:rPr>
          <w:rFonts w:ascii="Garamond" w:eastAsia="Roboto" w:hAnsi="Garamond" w:cs="Roboto"/>
          <w:color w:val="212121"/>
          <w:sz w:val="24"/>
          <w:szCs w:val="24"/>
          <w:lang w:val="it-IT"/>
        </w:rPr>
        <w:t xml:space="preserve">, G., Bellomo, A., Altamura, M., D’Onofrio, G., </w:t>
      </w:r>
      <w:proofErr w:type="spellStart"/>
      <w:r w:rsidRPr="00874A99">
        <w:rPr>
          <w:rFonts w:ascii="Garamond" w:eastAsia="Roboto" w:hAnsi="Garamond" w:cs="Roboto"/>
          <w:color w:val="212121"/>
          <w:sz w:val="24"/>
          <w:szCs w:val="24"/>
          <w:lang w:val="it-IT"/>
        </w:rPr>
        <w:t>Iuso</w:t>
      </w:r>
      <w:proofErr w:type="spellEnd"/>
      <w:r w:rsidRPr="00874A99">
        <w:rPr>
          <w:rFonts w:ascii="Garamond" w:eastAsia="Roboto" w:hAnsi="Garamond" w:cs="Roboto"/>
          <w:color w:val="212121"/>
          <w:sz w:val="24"/>
          <w:szCs w:val="24"/>
          <w:lang w:val="it-IT"/>
        </w:rPr>
        <w:t xml:space="preserve">, S. (2022). </w:t>
      </w:r>
      <w:r w:rsidRPr="00874A99">
        <w:rPr>
          <w:rFonts w:ascii="Garamond" w:eastAsia="Roboto" w:hAnsi="Garamond" w:cs="Roboto"/>
          <w:color w:val="212121"/>
          <w:sz w:val="24"/>
          <w:szCs w:val="24"/>
          <w:lang w:val="en-US"/>
        </w:rPr>
        <w:t xml:space="preserve">The Relationship between Gender Role, Job Role, and Risk and Protective Factors for Posttraumatic Stress Symptomatology among Healthcare Workers during the First Wave of COVID-19. Mediterranean Journal of Clinical Psychology, 10(1). </w:t>
      </w:r>
      <w:hyperlink r:id="rId37" w:history="1">
        <w:r w:rsidRPr="00874A99">
          <w:rPr>
            <w:rStyle w:val="Collegamentoipertestuale"/>
            <w:rFonts w:ascii="Garamond" w:eastAsia="Roboto" w:hAnsi="Garamond" w:cs="Roboto"/>
            <w:sz w:val="24"/>
            <w:szCs w:val="24"/>
            <w:lang w:val="en-US"/>
          </w:rPr>
          <w:t>https://doi.org/10.13129/2282-1619/mjcp-3288</w:t>
        </w:r>
      </w:hyperlink>
      <w:r w:rsidRPr="00874A99">
        <w:rPr>
          <w:rFonts w:ascii="Garamond" w:eastAsia="Roboto" w:hAnsi="Garamond" w:cs="Roboto"/>
          <w:color w:val="212121"/>
          <w:sz w:val="24"/>
          <w:szCs w:val="24"/>
          <w:lang w:val="en-US"/>
        </w:rPr>
        <w:t xml:space="preserve"> </w:t>
      </w:r>
    </w:p>
    <w:p w14:paraId="67F940BA" w14:textId="78EABBC0" w:rsidR="00C70414" w:rsidRPr="00874A99" w:rsidRDefault="00C70414" w:rsidP="00874A99">
      <w:pPr>
        <w:spacing w:line="360" w:lineRule="auto"/>
        <w:jc w:val="both"/>
        <w:rPr>
          <w:rFonts w:ascii="Garamond" w:eastAsia="Roboto" w:hAnsi="Garamond" w:cs="Roboto"/>
          <w:color w:val="212121"/>
          <w:sz w:val="24"/>
          <w:szCs w:val="24"/>
          <w:lang w:val="en-US"/>
        </w:rPr>
      </w:pPr>
      <w:proofErr w:type="spellStart"/>
      <w:r w:rsidRPr="00C57903">
        <w:rPr>
          <w:rFonts w:ascii="Garamond" w:eastAsia="Roboto" w:hAnsi="Garamond" w:cs="Roboto"/>
          <w:color w:val="212121"/>
          <w:sz w:val="24"/>
          <w:szCs w:val="24"/>
          <w:lang w:val="en-US"/>
        </w:rPr>
        <w:t>Procaccia</w:t>
      </w:r>
      <w:proofErr w:type="spellEnd"/>
      <w:r w:rsidRPr="00C57903">
        <w:rPr>
          <w:rFonts w:ascii="Garamond" w:eastAsia="Roboto" w:hAnsi="Garamond" w:cs="Roboto"/>
          <w:color w:val="212121"/>
          <w:sz w:val="24"/>
          <w:szCs w:val="24"/>
          <w:lang w:val="en-US"/>
        </w:rPr>
        <w:t xml:space="preserve">, R., Segre, G., Manzoni, G.M. (2022). </w:t>
      </w:r>
      <w:r w:rsidRPr="00874A99">
        <w:rPr>
          <w:rFonts w:ascii="Garamond" w:eastAsia="Roboto" w:hAnsi="Garamond" w:cs="Roboto"/>
          <w:color w:val="212121"/>
          <w:sz w:val="24"/>
          <w:szCs w:val="24"/>
          <w:lang w:val="en-US"/>
        </w:rPr>
        <w:t xml:space="preserve">Psychological effects of COVID-19 in general Italian population in function of age and gender. Mediterranean Journal of Clinical Psychology, 10(2). </w:t>
      </w:r>
      <w:hyperlink r:id="rId38" w:history="1">
        <w:r w:rsidRPr="00874A99">
          <w:rPr>
            <w:rStyle w:val="Collegamentoipertestuale"/>
            <w:rFonts w:ascii="Garamond" w:eastAsia="Roboto" w:hAnsi="Garamond" w:cs="Roboto"/>
            <w:sz w:val="24"/>
            <w:szCs w:val="24"/>
            <w:lang w:val="en-US"/>
          </w:rPr>
          <w:t>https://doi.org/10.13129/2282-1619/mjcp-3369</w:t>
        </w:r>
      </w:hyperlink>
      <w:r w:rsidRPr="00874A99">
        <w:rPr>
          <w:rFonts w:ascii="Garamond" w:eastAsia="Roboto" w:hAnsi="Garamond" w:cs="Roboto"/>
          <w:color w:val="212121"/>
          <w:sz w:val="24"/>
          <w:szCs w:val="24"/>
          <w:lang w:val="en-US"/>
        </w:rPr>
        <w:t xml:space="preserve"> </w:t>
      </w:r>
    </w:p>
    <w:p w14:paraId="499CB070" w14:textId="2D4A7B80" w:rsidR="009A37F8" w:rsidRPr="00C57903"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Sher L. (2021). Post-COVID syndrome and suicide risk. QJM: monthly journal of the Association of Physicians, 114(2), 95–98. </w:t>
      </w:r>
      <w:hyperlink r:id="rId39" w:history="1">
        <w:r w:rsidRPr="00C57903">
          <w:rPr>
            <w:rStyle w:val="Collegamentoipertestuale"/>
            <w:rFonts w:ascii="Garamond" w:eastAsia="Roboto" w:hAnsi="Garamond" w:cs="Roboto"/>
            <w:sz w:val="24"/>
            <w:szCs w:val="24"/>
            <w:lang w:val="it-IT"/>
          </w:rPr>
          <w:t>https://doi.org/10.1093/qjmed/hcab007</w:t>
        </w:r>
      </w:hyperlink>
      <w:r w:rsidRPr="00C57903">
        <w:rPr>
          <w:rFonts w:ascii="Garamond" w:eastAsia="Roboto" w:hAnsi="Garamond" w:cs="Roboto"/>
          <w:color w:val="212121"/>
          <w:sz w:val="24"/>
          <w:szCs w:val="24"/>
          <w:lang w:val="it-IT"/>
        </w:rPr>
        <w:t xml:space="preserve"> </w:t>
      </w:r>
    </w:p>
    <w:p w14:paraId="1B29A590" w14:textId="7D236E52" w:rsidR="009A37F8" w:rsidRPr="00874A99"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lastRenderedPageBreak/>
        <w:t xml:space="preserve">Sonino, N., &amp; Fava, G. A. (1998). </w:t>
      </w:r>
      <w:r w:rsidRPr="00874A99">
        <w:rPr>
          <w:rFonts w:ascii="Garamond" w:eastAsia="Roboto" w:hAnsi="Garamond" w:cs="Roboto"/>
          <w:color w:val="212121"/>
          <w:sz w:val="24"/>
          <w:szCs w:val="24"/>
          <w:lang w:val="en-US"/>
        </w:rPr>
        <w:t xml:space="preserve">A simple instrument for assessing stress in clinical practice. </w:t>
      </w:r>
      <w:proofErr w:type="spellStart"/>
      <w:r w:rsidRPr="00874A99">
        <w:rPr>
          <w:rFonts w:ascii="Garamond" w:eastAsia="Roboto" w:hAnsi="Garamond" w:cs="Roboto"/>
          <w:color w:val="212121"/>
          <w:sz w:val="24"/>
          <w:szCs w:val="24"/>
          <w:lang w:val="it-IT"/>
        </w:rPr>
        <w:t>Postgraduate</w:t>
      </w:r>
      <w:proofErr w:type="spellEnd"/>
      <w:r w:rsidRPr="00874A99">
        <w:rPr>
          <w:rFonts w:ascii="Garamond" w:eastAsia="Roboto" w:hAnsi="Garamond" w:cs="Roboto"/>
          <w:color w:val="212121"/>
          <w:sz w:val="24"/>
          <w:szCs w:val="24"/>
          <w:lang w:val="it-IT"/>
        </w:rPr>
        <w:t xml:space="preserve"> </w:t>
      </w:r>
      <w:proofErr w:type="spellStart"/>
      <w:r w:rsidRPr="00874A99">
        <w:rPr>
          <w:rFonts w:ascii="Garamond" w:eastAsia="Roboto" w:hAnsi="Garamond" w:cs="Roboto"/>
          <w:color w:val="212121"/>
          <w:sz w:val="24"/>
          <w:szCs w:val="24"/>
          <w:lang w:val="it-IT"/>
        </w:rPr>
        <w:t>medical</w:t>
      </w:r>
      <w:proofErr w:type="spellEnd"/>
      <w:r w:rsidRPr="00874A99">
        <w:rPr>
          <w:rFonts w:ascii="Garamond" w:eastAsia="Roboto" w:hAnsi="Garamond" w:cs="Roboto"/>
          <w:color w:val="212121"/>
          <w:sz w:val="24"/>
          <w:szCs w:val="24"/>
          <w:lang w:val="it-IT"/>
        </w:rPr>
        <w:t xml:space="preserve"> journal, 74(873), 408–410. </w:t>
      </w:r>
      <w:hyperlink r:id="rId40" w:history="1">
        <w:r w:rsidRPr="00874A99">
          <w:rPr>
            <w:rStyle w:val="Collegamentoipertestuale"/>
            <w:rFonts w:ascii="Garamond" w:eastAsia="Roboto" w:hAnsi="Garamond" w:cs="Roboto"/>
            <w:sz w:val="24"/>
            <w:szCs w:val="24"/>
            <w:lang w:val="it-IT"/>
          </w:rPr>
          <w:t>https://doi.org/10.1136/pgmj.74.873.408</w:t>
        </w:r>
      </w:hyperlink>
      <w:r w:rsidRPr="00874A99">
        <w:rPr>
          <w:rFonts w:ascii="Garamond" w:eastAsia="Roboto" w:hAnsi="Garamond" w:cs="Roboto"/>
          <w:color w:val="212121"/>
          <w:sz w:val="24"/>
          <w:szCs w:val="24"/>
          <w:lang w:val="it-IT"/>
        </w:rPr>
        <w:t xml:space="preserve"> </w:t>
      </w:r>
    </w:p>
    <w:p w14:paraId="27C135DE" w14:textId="27BB166B"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Spano, G., D'Este, M., Giannico, V., Elia, M., Cassibba, R., Lafortezza, R., &amp; Sanesi, G. (2021). </w:t>
      </w:r>
      <w:r w:rsidRPr="00874A99">
        <w:rPr>
          <w:rFonts w:ascii="Garamond" w:eastAsia="Roboto" w:hAnsi="Garamond" w:cs="Roboto"/>
          <w:color w:val="212121"/>
          <w:sz w:val="24"/>
          <w:szCs w:val="24"/>
          <w:lang w:val="en-US"/>
        </w:rPr>
        <w:t xml:space="preserve">Association between indoor-outdoor green features and psychological health during the COVID-19 lockdown in Italy: A cross-sectional nationwide study. Urban forestry &amp; urban greening, 62, 127156. </w:t>
      </w:r>
      <w:hyperlink r:id="rId41" w:history="1">
        <w:r w:rsidRPr="00874A99">
          <w:rPr>
            <w:rStyle w:val="Collegamentoipertestuale"/>
            <w:rFonts w:ascii="Garamond" w:eastAsia="Roboto" w:hAnsi="Garamond" w:cs="Roboto"/>
            <w:sz w:val="24"/>
            <w:szCs w:val="24"/>
            <w:lang w:val="en-US"/>
          </w:rPr>
          <w:t>https://doi.org/10.1016/j.ufug.2021.127156</w:t>
        </w:r>
      </w:hyperlink>
      <w:r w:rsidRPr="00874A99">
        <w:rPr>
          <w:rFonts w:ascii="Garamond" w:eastAsia="Roboto" w:hAnsi="Garamond" w:cs="Roboto"/>
          <w:color w:val="212121"/>
          <w:sz w:val="24"/>
          <w:szCs w:val="24"/>
          <w:lang w:val="en-US"/>
        </w:rPr>
        <w:t xml:space="preserve"> </w:t>
      </w:r>
    </w:p>
    <w:p w14:paraId="4F57C489" w14:textId="1A3228DC" w:rsidR="009A37F8" w:rsidRPr="00874A99" w:rsidRDefault="009A37F8" w:rsidP="00874A99">
      <w:pPr>
        <w:spacing w:line="360" w:lineRule="auto"/>
        <w:jc w:val="both"/>
        <w:rPr>
          <w:rFonts w:ascii="Garamond" w:eastAsia="Roboto" w:hAnsi="Garamond" w:cs="Roboto"/>
          <w:color w:val="212121"/>
          <w:sz w:val="24"/>
          <w:szCs w:val="24"/>
          <w:highlight w:val="white"/>
          <w:lang w:val="en-US"/>
        </w:rPr>
      </w:pPr>
      <w:r w:rsidRPr="00C57903">
        <w:rPr>
          <w:rFonts w:ascii="Garamond" w:eastAsia="Roboto" w:hAnsi="Garamond" w:cs="Roboto"/>
          <w:color w:val="212121"/>
          <w:sz w:val="24"/>
          <w:szCs w:val="24"/>
          <w:lang w:val="en-US"/>
        </w:rPr>
        <w:t xml:space="preserve">Sumra, M. K., &amp; </w:t>
      </w:r>
      <w:proofErr w:type="spellStart"/>
      <w:r w:rsidRPr="00C57903">
        <w:rPr>
          <w:rFonts w:ascii="Garamond" w:eastAsia="Roboto" w:hAnsi="Garamond" w:cs="Roboto"/>
          <w:color w:val="212121"/>
          <w:sz w:val="24"/>
          <w:szCs w:val="24"/>
          <w:lang w:val="en-US"/>
        </w:rPr>
        <w:t>Schillaci</w:t>
      </w:r>
      <w:proofErr w:type="spellEnd"/>
      <w:r w:rsidRPr="00C57903">
        <w:rPr>
          <w:rFonts w:ascii="Garamond" w:eastAsia="Roboto" w:hAnsi="Garamond" w:cs="Roboto"/>
          <w:color w:val="212121"/>
          <w:sz w:val="24"/>
          <w:szCs w:val="24"/>
          <w:lang w:val="en-US"/>
        </w:rPr>
        <w:t xml:space="preserve">, M. A. (2015). </w:t>
      </w:r>
      <w:r w:rsidRPr="00874A99">
        <w:rPr>
          <w:rFonts w:ascii="Garamond" w:eastAsia="Roboto" w:hAnsi="Garamond" w:cs="Roboto"/>
          <w:color w:val="212121"/>
          <w:sz w:val="24"/>
          <w:szCs w:val="24"/>
          <w:lang w:val="en-US"/>
        </w:rPr>
        <w:t xml:space="preserve">Stress and the multiple-role woman: taking a closer look at the "superwoman". </w:t>
      </w:r>
      <w:proofErr w:type="spellStart"/>
      <w:r w:rsidRPr="00874A99">
        <w:rPr>
          <w:rFonts w:ascii="Garamond" w:eastAsia="Roboto" w:hAnsi="Garamond" w:cs="Roboto"/>
          <w:color w:val="212121"/>
          <w:sz w:val="24"/>
          <w:szCs w:val="24"/>
          <w:lang w:val="en-US"/>
        </w:rPr>
        <w:t>PloS</w:t>
      </w:r>
      <w:proofErr w:type="spellEnd"/>
      <w:r w:rsidRPr="00874A99">
        <w:rPr>
          <w:rFonts w:ascii="Garamond" w:eastAsia="Roboto" w:hAnsi="Garamond" w:cs="Roboto"/>
          <w:color w:val="212121"/>
          <w:sz w:val="24"/>
          <w:szCs w:val="24"/>
          <w:lang w:val="en-US"/>
        </w:rPr>
        <w:t xml:space="preserve"> one, 10(3), e0120952. </w:t>
      </w:r>
      <w:hyperlink r:id="rId42" w:history="1">
        <w:r w:rsidRPr="00874A99">
          <w:rPr>
            <w:rStyle w:val="Collegamentoipertestuale"/>
            <w:rFonts w:ascii="Garamond" w:eastAsia="Roboto" w:hAnsi="Garamond" w:cs="Roboto"/>
            <w:sz w:val="24"/>
            <w:szCs w:val="24"/>
            <w:lang w:val="en-US"/>
          </w:rPr>
          <w:t>https://doi.org/10.1371/journal.pone.0120952</w:t>
        </w:r>
      </w:hyperlink>
      <w:r w:rsidRPr="00874A99">
        <w:rPr>
          <w:rFonts w:ascii="Garamond" w:eastAsia="Roboto" w:hAnsi="Garamond" w:cs="Roboto"/>
          <w:color w:val="212121"/>
          <w:sz w:val="24"/>
          <w:szCs w:val="24"/>
          <w:highlight w:val="white"/>
          <w:lang w:val="en-US"/>
        </w:rPr>
        <w:t xml:space="preserve"> </w:t>
      </w:r>
    </w:p>
    <w:p w14:paraId="3A3C5419" w14:textId="4C539A45"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Sun, N., Wei, L., Wang, H., Wang, X., Gao, M., Hu, X., &amp; Shi, S. (2021). Qualitative study of the psychological experience of COVID-19 patients during hospitalization. Journal of affective disorders, 278, 15–22. </w:t>
      </w:r>
      <w:hyperlink r:id="rId43" w:history="1">
        <w:r w:rsidRPr="00874A99">
          <w:rPr>
            <w:rStyle w:val="Collegamentoipertestuale"/>
            <w:rFonts w:ascii="Garamond" w:eastAsia="Roboto" w:hAnsi="Garamond" w:cs="Roboto"/>
            <w:sz w:val="24"/>
            <w:szCs w:val="24"/>
            <w:lang w:val="en-US"/>
          </w:rPr>
          <w:t>https://doi.org/10.1016/j.jad.2020.08.040</w:t>
        </w:r>
      </w:hyperlink>
      <w:r w:rsidRPr="00874A99">
        <w:rPr>
          <w:rFonts w:ascii="Garamond" w:eastAsia="Roboto" w:hAnsi="Garamond" w:cs="Roboto"/>
          <w:color w:val="212121"/>
          <w:sz w:val="24"/>
          <w:szCs w:val="24"/>
          <w:lang w:val="en-US"/>
        </w:rPr>
        <w:t xml:space="preserve"> </w:t>
      </w:r>
    </w:p>
    <w:p w14:paraId="37849CD1"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Thibaut, F., &amp; van </w:t>
      </w:r>
      <w:proofErr w:type="spellStart"/>
      <w:r w:rsidRPr="00874A99">
        <w:rPr>
          <w:rFonts w:ascii="Garamond" w:eastAsia="Roboto" w:hAnsi="Garamond" w:cs="Roboto"/>
          <w:color w:val="212121"/>
          <w:sz w:val="24"/>
          <w:szCs w:val="24"/>
          <w:lang w:val="en-US"/>
        </w:rPr>
        <w:t>Wijngaarden-Cremers</w:t>
      </w:r>
      <w:proofErr w:type="spellEnd"/>
      <w:r w:rsidRPr="00874A99">
        <w:rPr>
          <w:rFonts w:ascii="Garamond" w:eastAsia="Roboto" w:hAnsi="Garamond" w:cs="Roboto"/>
          <w:color w:val="212121"/>
          <w:sz w:val="24"/>
          <w:szCs w:val="24"/>
          <w:lang w:val="en-US"/>
        </w:rPr>
        <w:t xml:space="preserve">, P. J. M. (2020). Women's Mental Health in the Time of Covid-19 Pandemic. Frontiers in global women's health, 1, 588372. </w:t>
      </w:r>
      <w:hyperlink r:id="rId44" w:history="1">
        <w:r w:rsidRPr="00874A99">
          <w:rPr>
            <w:rStyle w:val="Collegamentoipertestuale"/>
            <w:rFonts w:ascii="Garamond" w:eastAsia="Roboto" w:hAnsi="Garamond" w:cs="Roboto"/>
            <w:sz w:val="24"/>
            <w:szCs w:val="24"/>
            <w:lang w:val="en-US"/>
          </w:rPr>
          <w:t>https://doi.org/10.3389/fgwh.2020.588372</w:t>
        </w:r>
      </w:hyperlink>
      <w:r w:rsidRPr="00874A99">
        <w:rPr>
          <w:rFonts w:ascii="Garamond" w:eastAsia="Roboto" w:hAnsi="Garamond" w:cs="Roboto"/>
          <w:color w:val="212121"/>
          <w:sz w:val="24"/>
          <w:szCs w:val="24"/>
          <w:lang w:val="en-US"/>
        </w:rPr>
        <w:t xml:space="preserve"> </w:t>
      </w:r>
    </w:p>
    <w:p w14:paraId="3E5215DE" w14:textId="32FB714A" w:rsidR="009A37F8" w:rsidRPr="00C57903" w:rsidRDefault="009A37F8" w:rsidP="00874A99">
      <w:pPr>
        <w:spacing w:line="360" w:lineRule="auto"/>
        <w:jc w:val="both"/>
        <w:rPr>
          <w:rFonts w:ascii="Garamond" w:eastAsia="Roboto" w:hAnsi="Garamond" w:cs="Roboto"/>
          <w:color w:val="212121"/>
          <w:sz w:val="24"/>
          <w:szCs w:val="24"/>
          <w:lang w:val="en-US"/>
        </w:rPr>
      </w:pPr>
      <w:proofErr w:type="spellStart"/>
      <w:r w:rsidRPr="00874A99">
        <w:rPr>
          <w:rFonts w:ascii="Garamond" w:eastAsia="Roboto" w:hAnsi="Garamond" w:cs="Roboto"/>
          <w:color w:val="212121"/>
          <w:sz w:val="24"/>
          <w:szCs w:val="24"/>
          <w:lang w:val="en-US"/>
        </w:rPr>
        <w:t>Tleyjeh</w:t>
      </w:r>
      <w:proofErr w:type="spellEnd"/>
      <w:r w:rsidRPr="00874A99">
        <w:rPr>
          <w:rFonts w:ascii="Garamond" w:eastAsia="Roboto" w:hAnsi="Garamond" w:cs="Roboto"/>
          <w:color w:val="212121"/>
          <w:sz w:val="24"/>
          <w:szCs w:val="24"/>
          <w:lang w:val="en-US"/>
        </w:rPr>
        <w:t xml:space="preserve">, I. M., </w:t>
      </w:r>
      <w:proofErr w:type="spellStart"/>
      <w:r w:rsidRPr="00874A99">
        <w:rPr>
          <w:rFonts w:ascii="Garamond" w:eastAsia="Roboto" w:hAnsi="Garamond" w:cs="Roboto"/>
          <w:color w:val="212121"/>
          <w:sz w:val="24"/>
          <w:szCs w:val="24"/>
          <w:lang w:val="en-US"/>
        </w:rPr>
        <w:t>Saddik</w:t>
      </w:r>
      <w:proofErr w:type="spellEnd"/>
      <w:r w:rsidRPr="00874A99">
        <w:rPr>
          <w:rFonts w:ascii="Garamond" w:eastAsia="Roboto" w:hAnsi="Garamond" w:cs="Roboto"/>
          <w:color w:val="212121"/>
          <w:sz w:val="24"/>
          <w:szCs w:val="24"/>
          <w:lang w:val="en-US"/>
        </w:rPr>
        <w:t xml:space="preserve">, B., </w:t>
      </w:r>
      <w:proofErr w:type="spellStart"/>
      <w:r w:rsidRPr="00874A99">
        <w:rPr>
          <w:rFonts w:ascii="Garamond" w:eastAsia="Roboto" w:hAnsi="Garamond" w:cs="Roboto"/>
          <w:color w:val="212121"/>
          <w:sz w:val="24"/>
          <w:szCs w:val="24"/>
          <w:lang w:val="en-US"/>
        </w:rPr>
        <w:t>AlSwaidan</w:t>
      </w:r>
      <w:proofErr w:type="spellEnd"/>
      <w:r w:rsidRPr="00874A99">
        <w:rPr>
          <w:rFonts w:ascii="Garamond" w:eastAsia="Roboto" w:hAnsi="Garamond" w:cs="Roboto"/>
          <w:color w:val="212121"/>
          <w:sz w:val="24"/>
          <w:szCs w:val="24"/>
          <w:lang w:val="en-US"/>
        </w:rPr>
        <w:t xml:space="preserve">, N., </w:t>
      </w:r>
      <w:proofErr w:type="spellStart"/>
      <w:r w:rsidRPr="00874A99">
        <w:rPr>
          <w:rFonts w:ascii="Garamond" w:eastAsia="Roboto" w:hAnsi="Garamond" w:cs="Roboto"/>
          <w:color w:val="212121"/>
          <w:sz w:val="24"/>
          <w:szCs w:val="24"/>
          <w:lang w:val="en-US"/>
        </w:rPr>
        <w:t>AlAnazi</w:t>
      </w:r>
      <w:proofErr w:type="spellEnd"/>
      <w:r w:rsidRPr="00874A99">
        <w:rPr>
          <w:rFonts w:ascii="Garamond" w:eastAsia="Roboto" w:hAnsi="Garamond" w:cs="Roboto"/>
          <w:color w:val="212121"/>
          <w:sz w:val="24"/>
          <w:szCs w:val="24"/>
          <w:lang w:val="en-US"/>
        </w:rPr>
        <w:t xml:space="preserve">, A., Ramakrishnan, R. K., </w:t>
      </w:r>
      <w:proofErr w:type="spellStart"/>
      <w:r w:rsidRPr="00874A99">
        <w:rPr>
          <w:rFonts w:ascii="Garamond" w:eastAsia="Roboto" w:hAnsi="Garamond" w:cs="Roboto"/>
          <w:color w:val="212121"/>
          <w:sz w:val="24"/>
          <w:szCs w:val="24"/>
          <w:lang w:val="en-US"/>
        </w:rPr>
        <w:t>Alhazmi</w:t>
      </w:r>
      <w:proofErr w:type="spellEnd"/>
      <w:r w:rsidRPr="00874A99">
        <w:rPr>
          <w:rFonts w:ascii="Garamond" w:eastAsia="Roboto" w:hAnsi="Garamond" w:cs="Roboto"/>
          <w:color w:val="212121"/>
          <w:sz w:val="24"/>
          <w:szCs w:val="24"/>
          <w:lang w:val="en-US"/>
        </w:rPr>
        <w:t xml:space="preserve">, D., </w:t>
      </w:r>
      <w:proofErr w:type="spellStart"/>
      <w:r w:rsidRPr="00874A99">
        <w:rPr>
          <w:rFonts w:ascii="Garamond" w:eastAsia="Roboto" w:hAnsi="Garamond" w:cs="Roboto"/>
          <w:color w:val="212121"/>
          <w:sz w:val="24"/>
          <w:szCs w:val="24"/>
          <w:lang w:val="en-US"/>
        </w:rPr>
        <w:t>Aloufi</w:t>
      </w:r>
      <w:proofErr w:type="spellEnd"/>
      <w:r w:rsidRPr="00874A99">
        <w:rPr>
          <w:rFonts w:ascii="Garamond" w:eastAsia="Roboto" w:hAnsi="Garamond" w:cs="Roboto"/>
          <w:color w:val="212121"/>
          <w:sz w:val="24"/>
          <w:szCs w:val="24"/>
          <w:lang w:val="en-US"/>
        </w:rPr>
        <w:t xml:space="preserve">, A., </w:t>
      </w:r>
      <w:proofErr w:type="spellStart"/>
      <w:r w:rsidRPr="00874A99">
        <w:rPr>
          <w:rFonts w:ascii="Garamond" w:eastAsia="Roboto" w:hAnsi="Garamond" w:cs="Roboto"/>
          <w:color w:val="212121"/>
          <w:sz w:val="24"/>
          <w:szCs w:val="24"/>
          <w:lang w:val="en-US"/>
        </w:rPr>
        <w:t>AlSumait</w:t>
      </w:r>
      <w:proofErr w:type="spellEnd"/>
      <w:r w:rsidRPr="00874A99">
        <w:rPr>
          <w:rFonts w:ascii="Garamond" w:eastAsia="Roboto" w:hAnsi="Garamond" w:cs="Roboto"/>
          <w:color w:val="212121"/>
          <w:sz w:val="24"/>
          <w:szCs w:val="24"/>
          <w:lang w:val="en-US"/>
        </w:rPr>
        <w:t xml:space="preserve">, F., </w:t>
      </w:r>
      <w:proofErr w:type="spellStart"/>
      <w:r w:rsidRPr="00874A99">
        <w:rPr>
          <w:rFonts w:ascii="Garamond" w:eastAsia="Roboto" w:hAnsi="Garamond" w:cs="Roboto"/>
          <w:color w:val="212121"/>
          <w:sz w:val="24"/>
          <w:szCs w:val="24"/>
          <w:lang w:val="en-US"/>
        </w:rPr>
        <w:t>Berbari</w:t>
      </w:r>
      <w:proofErr w:type="spellEnd"/>
      <w:r w:rsidRPr="00874A99">
        <w:rPr>
          <w:rFonts w:ascii="Garamond" w:eastAsia="Roboto" w:hAnsi="Garamond" w:cs="Roboto"/>
          <w:color w:val="212121"/>
          <w:sz w:val="24"/>
          <w:szCs w:val="24"/>
          <w:lang w:val="en-US"/>
        </w:rPr>
        <w:t xml:space="preserve">, E., &amp; Halwani, R. (2021). Prevalence and predictors of Post-Acute COVID-19 Syndrome (PACS) after hospital discharge: A cohort study with 4 months median follow-up. </w:t>
      </w:r>
      <w:proofErr w:type="spellStart"/>
      <w:r w:rsidRPr="00C57903">
        <w:rPr>
          <w:rFonts w:ascii="Garamond" w:eastAsia="Roboto" w:hAnsi="Garamond" w:cs="Roboto"/>
          <w:color w:val="212121"/>
          <w:sz w:val="24"/>
          <w:szCs w:val="24"/>
          <w:lang w:val="en-US"/>
        </w:rPr>
        <w:t>PloS</w:t>
      </w:r>
      <w:proofErr w:type="spellEnd"/>
      <w:r w:rsidRPr="00C57903">
        <w:rPr>
          <w:rFonts w:ascii="Garamond" w:eastAsia="Roboto" w:hAnsi="Garamond" w:cs="Roboto"/>
          <w:color w:val="212121"/>
          <w:sz w:val="24"/>
          <w:szCs w:val="24"/>
          <w:lang w:val="en-US"/>
        </w:rPr>
        <w:t xml:space="preserve"> one, 16(12), e0260568. </w:t>
      </w:r>
      <w:hyperlink r:id="rId45" w:history="1">
        <w:r w:rsidRPr="00C57903">
          <w:rPr>
            <w:rStyle w:val="Collegamentoipertestuale"/>
            <w:rFonts w:ascii="Garamond" w:eastAsia="Roboto" w:hAnsi="Garamond" w:cs="Roboto"/>
            <w:sz w:val="24"/>
            <w:szCs w:val="24"/>
            <w:lang w:val="en-US"/>
          </w:rPr>
          <w:t>https://doi.org/10.1371/journal.pone.0260568</w:t>
        </w:r>
      </w:hyperlink>
      <w:r w:rsidRPr="00C57903">
        <w:rPr>
          <w:rFonts w:ascii="Garamond" w:eastAsia="Roboto" w:hAnsi="Garamond" w:cs="Roboto"/>
          <w:color w:val="212121"/>
          <w:sz w:val="24"/>
          <w:szCs w:val="24"/>
          <w:lang w:val="en-US"/>
        </w:rPr>
        <w:t xml:space="preserve"> </w:t>
      </w:r>
    </w:p>
    <w:p w14:paraId="1F66ADFD"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Wade, D., Hardy, R., Howell, D., &amp; Mythen, M. (2013). Identifying clinical and acute psychological risk factors for PTSD after critical care: a systematic review. Minerva </w:t>
      </w:r>
      <w:proofErr w:type="spellStart"/>
      <w:r w:rsidRPr="00874A99">
        <w:rPr>
          <w:rFonts w:ascii="Garamond" w:eastAsia="Roboto" w:hAnsi="Garamond" w:cs="Roboto"/>
          <w:color w:val="212121"/>
          <w:sz w:val="24"/>
          <w:szCs w:val="24"/>
          <w:lang w:val="en-US"/>
        </w:rPr>
        <w:t>anestesiologica</w:t>
      </w:r>
      <w:proofErr w:type="spellEnd"/>
      <w:r w:rsidRPr="00874A99">
        <w:rPr>
          <w:rFonts w:ascii="Garamond" w:eastAsia="Roboto" w:hAnsi="Garamond" w:cs="Roboto"/>
          <w:color w:val="212121"/>
          <w:sz w:val="24"/>
          <w:szCs w:val="24"/>
          <w:lang w:val="en-US"/>
        </w:rPr>
        <w:t>, 79(8), 944–963.</w:t>
      </w:r>
    </w:p>
    <w:p w14:paraId="412D9329"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Weiss D, </w:t>
      </w:r>
      <w:proofErr w:type="spellStart"/>
      <w:r w:rsidRPr="00874A99">
        <w:rPr>
          <w:rFonts w:ascii="Garamond" w:eastAsia="Roboto" w:hAnsi="Garamond" w:cs="Roboto"/>
          <w:color w:val="212121"/>
          <w:sz w:val="24"/>
          <w:szCs w:val="24"/>
          <w:lang w:val="en-US"/>
        </w:rPr>
        <w:t>Marmar</w:t>
      </w:r>
      <w:proofErr w:type="spellEnd"/>
      <w:r w:rsidRPr="00874A99">
        <w:rPr>
          <w:rFonts w:ascii="Garamond" w:eastAsia="Roboto" w:hAnsi="Garamond" w:cs="Roboto"/>
          <w:color w:val="212121"/>
          <w:sz w:val="24"/>
          <w:szCs w:val="24"/>
          <w:lang w:val="en-US"/>
        </w:rPr>
        <w:t xml:space="preserve"> C, Wilson J P, &amp; Keane T M. (1997) The impact of event scale-Revised, assessing psychological trauma and PTSD. New York: </w:t>
      </w:r>
      <w:proofErr w:type="gramStart"/>
      <w:r w:rsidRPr="00874A99">
        <w:rPr>
          <w:rFonts w:ascii="Garamond" w:eastAsia="Roboto" w:hAnsi="Garamond" w:cs="Roboto"/>
          <w:color w:val="212121"/>
          <w:sz w:val="24"/>
          <w:szCs w:val="24"/>
          <w:lang w:val="en-US"/>
        </w:rPr>
        <w:t>Guilford;.</w:t>
      </w:r>
      <w:proofErr w:type="gramEnd"/>
      <w:r w:rsidRPr="00874A99">
        <w:rPr>
          <w:rFonts w:ascii="Garamond" w:eastAsia="Roboto" w:hAnsi="Garamond" w:cs="Roboto"/>
          <w:color w:val="212121"/>
          <w:sz w:val="24"/>
          <w:szCs w:val="24"/>
          <w:lang w:val="en-US"/>
        </w:rPr>
        <w:t xml:space="preserve"> p. 399–411.</w:t>
      </w:r>
    </w:p>
    <w:p w14:paraId="3F696D9F" w14:textId="6E32205D"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WHO COVID-19 Dashboard. Geneva: World Health Organization, 2020. </w:t>
      </w:r>
      <w:proofErr w:type="gramStart"/>
      <w:r w:rsidRPr="00874A99">
        <w:rPr>
          <w:rFonts w:ascii="Garamond" w:eastAsia="Roboto" w:hAnsi="Garamond" w:cs="Roboto"/>
          <w:color w:val="212121"/>
          <w:sz w:val="24"/>
          <w:szCs w:val="24"/>
          <w:lang w:val="en-US"/>
        </w:rPr>
        <w:t>https://covid19.who.int/  Accessed</w:t>
      </w:r>
      <w:proofErr w:type="gramEnd"/>
      <w:r w:rsidRPr="00874A99">
        <w:rPr>
          <w:rFonts w:ascii="Garamond" w:eastAsia="Roboto" w:hAnsi="Garamond" w:cs="Roboto"/>
          <w:color w:val="212121"/>
          <w:sz w:val="24"/>
          <w:szCs w:val="24"/>
          <w:lang w:val="en-US"/>
        </w:rPr>
        <w:t xml:space="preserve"> 01 December 2022</w:t>
      </w:r>
    </w:p>
    <w:p w14:paraId="593E1E88" w14:textId="30C661BE"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Williams, L., Zhang, R., &amp; Packard, K. C. (2016). Factors affecting the physical and mental health of older adults in China: The importance of marital status, child proximity, and gender. SSM - population health, 3, 20–36. </w:t>
      </w:r>
      <w:hyperlink r:id="rId46" w:history="1">
        <w:r w:rsidRPr="00874A99">
          <w:rPr>
            <w:rStyle w:val="Collegamentoipertestuale"/>
            <w:rFonts w:ascii="Garamond" w:eastAsia="Roboto" w:hAnsi="Garamond" w:cs="Roboto"/>
            <w:sz w:val="24"/>
            <w:szCs w:val="24"/>
            <w:lang w:val="en-US"/>
          </w:rPr>
          <w:t>https://doi.org/10.1016/j.ssmph.2016.11.005</w:t>
        </w:r>
      </w:hyperlink>
      <w:r w:rsidRPr="00874A99">
        <w:rPr>
          <w:rFonts w:ascii="Garamond" w:eastAsia="Roboto" w:hAnsi="Garamond" w:cs="Roboto"/>
          <w:color w:val="212121"/>
          <w:sz w:val="24"/>
          <w:szCs w:val="24"/>
          <w:lang w:val="en-US"/>
        </w:rPr>
        <w:t xml:space="preserve"> </w:t>
      </w:r>
    </w:p>
    <w:p w14:paraId="395BC56A" w14:textId="19E8F77F" w:rsidR="00142407" w:rsidRPr="00874A99" w:rsidRDefault="009A37F8" w:rsidP="00874A99">
      <w:pPr>
        <w:spacing w:line="360" w:lineRule="auto"/>
        <w:jc w:val="both"/>
        <w:rPr>
          <w:rFonts w:ascii="Garamond" w:eastAsia="Roboto" w:hAnsi="Garamond" w:cs="Roboto"/>
          <w:color w:val="212121"/>
          <w:sz w:val="24"/>
          <w:szCs w:val="24"/>
          <w:lang w:val="it-IT"/>
        </w:rPr>
      </w:pPr>
      <w:proofErr w:type="spellStart"/>
      <w:r w:rsidRPr="00874A99">
        <w:rPr>
          <w:rFonts w:ascii="Garamond" w:eastAsia="Roboto" w:hAnsi="Garamond" w:cs="Roboto"/>
          <w:color w:val="212121"/>
          <w:sz w:val="24"/>
          <w:szCs w:val="24"/>
          <w:lang w:val="en-US"/>
        </w:rPr>
        <w:t>Zigmond</w:t>
      </w:r>
      <w:proofErr w:type="spellEnd"/>
      <w:r w:rsidRPr="00874A99">
        <w:rPr>
          <w:rFonts w:ascii="Garamond" w:eastAsia="Roboto" w:hAnsi="Garamond" w:cs="Roboto"/>
          <w:color w:val="212121"/>
          <w:sz w:val="24"/>
          <w:szCs w:val="24"/>
          <w:lang w:val="en-US"/>
        </w:rPr>
        <w:t xml:space="preserve">, A. S., &amp; Snaith, R. P. (1983). The hospital anxiety and depression scale. </w:t>
      </w:r>
      <w:r w:rsidRPr="00874A99">
        <w:rPr>
          <w:rFonts w:ascii="Garamond" w:eastAsia="Roboto" w:hAnsi="Garamond" w:cs="Roboto"/>
          <w:color w:val="212121"/>
          <w:sz w:val="24"/>
          <w:szCs w:val="24"/>
          <w:lang w:val="it-IT"/>
        </w:rPr>
        <w:t xml:space="preserve">Acta </w:t>
      </w:r>
      <w:proofErr w:type="spellStart"/>
      <w:r w:rsidRPr="00874A99">
        <w:rPr>
          <w:rFonts w:ascii="Garamond" w:eastAsia="Roboto" w:hAnsi="Garamond" w:cs="Roboto"/>
          <w:color w:val="212121"/>
          <w:sz w:val="24"/>
          <w:szCs w:val="24"/>
          <w:lang w:val="it-IT"/>
        </w:rPr>
        <w:t>psychiatrica</w:t>
      </w:r>
      <w:proofErr w:type="spellEnd"/>
      <w:r w:rsidRPr="00874A99">
        <w:rPr>
          <w:rFonts w:ascii="Garamond" w:eastAsia="Roboto" w:hAnsi="Garamond" w:cs="Roboto"/>
          <w:color w:val="212121"/>
          <w:sz w:val="24"/>
          <w:szCs w:val="24"/>
          <w:lang w:val="it-IT"/>
        </w:rPr>
        <w:t xml:space="preserve"> </w:t>
      </w:r>
      <w:proofErr w:type="spellStart"/>
      <w:r w:rsidRPr="00874A99">
        <w:rPr>
          <w:rFonts w:ascii="Garamond" w:eastAsia="Roboto" w:hAnsi="Garamond" w:cs="Roboto"/>
          <w:color w:val="212121"/>
          <w:sz w:val="24"/>
          <w:szCs w:val="24"/>
          <w:lang w:val="it-IT"/>
        </w:rPr>
        <w:t>Scandinavica</w:t>
      </w:r>
      <w:proofErr w:type="spellEnd"/>
      <w:r w:rsidRPr="00874A99">
        <w:rPr>
          <w:rFonts w:ascii="Garamond" w:eastAsia="Roboto" w:hAnsi="Garamond" w:cs="Roboto"/>
          <w:color w:val="212121"/>
          <w:sz w:val="24"/>
          <w:szCs w:val="24"/>
          <w:lang w:val="it-IT"/>
        </w:rPr>
        <w:t xml:space="preserve">, 67(6), 361–370. </w:t>
      </w:r>
      <w:hyperlink r:id="rId47" w:history="1">
        <w:r w:rsidRPr="00874A99">
          <w:rPr>
            <w:rStyle w:val="Collegamentoipertestuale"/>
            <w:rFonts w:ascii="Garamond" w:eastAsia="Roboto" w:hAnsi="Garamond" w:cs="Roboto"/>
            <w:sz w:val="24"/>
            <w:szCs w:val="24"/>
            <w:lang w:val="it-IT"/>
          </w:rPr>
          <w:t>https://doi.org/10.1111/j.1600-0447.1983.tb09716.x</w:t>
        </w:r>
      </w:hyperlink>
      <w:r w:rsidRPr="00874A99">
        <w:rPr>
          <w:rFonts w:ascii="Garamond" w:eastAsia="Roboto" w:hAnsi="Garamond" w:cs="Roboto"/>
          <w:color w:val="212121"/>
          <w:sz w:val="24"/>
          <w:szCs w:val="24"/>
          <w:lang w:val="it-IT"/>
        </w:rPr>
        <w:t xml:space="preserve"> </w:t>
      </w:r>
    </w:p>
    <w:sectPr w:rsidR="00142407" w:rsidRPr="00874A99" w:rsidSect="00C05570">
      <w:headerReference w:type="default" r:id="rId48"/>
      <w:footerReference w:type="default" r:id="rId49"/>
      <w:headerReference w:type="first" r:id="rId50"/>
      <w:footerReference w:type="first" r:id="rId51"/>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E741" w14:textId="77777777" w:rsidR="00D32198" w:rsidRDefault="00D32198" w:rsidP="00721207">
      <w:pPr>
        <w:spacing w:after="0" w:line="240" w:lineRule="auto"/>
      </w:pPr>
      <w:r>
        <w:separator/>
      </w:r>
    </w:p>
  </w:endnote>
  <w:endnote w:type="continuationSeparator" w:id="0">
    <w:p w14:paraId="465B5D51" w14:textId="77777777" w:rsidR="00D32198" w:rsidRDefault="00D32198"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Adobe Arabic">
    <w:altName w:val="Times New Roman"/>
    <w:panose1 w:val="020B0604020202020204"/>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Pidipagina"/>
          <w:jc w:val="center"/>
        </w:pPr>
        <w:r>
          <w:fldChar w:fldCharType="begin"/>
        </w:r>
        <w:r>
          <w:instrText>PAGE   \* MERGEFORMAT</w:instrText>
        </w:r>
        <w:r>
          <w:fldChar w:fldCharType="separate"/>
        </w:r>
        <w:r w:rsidRPr="0084635B">
          <w:t>2</w:t>
        </w:r>
        <w:r>
          <w:fldChar w:fldCharType="end"/>
        </w:r>
      </w:p>
    </w:sdtContent>
  </w:sdt>
  <w:p w14:paraId="072E8A8E" w14:textId="540150B8" w:rsidR="001F2093" w:rsidRPr="005B18AB" w:rsidRDefault="001F2093" w:rsidP="00D50C4A">
    <w:pPr>
      <w:pStyle w:val="Pidipagina"/>
      <w:rPr>
        <w:rFonts w:ascii="Garamond" w:hAnsi="Garamond"/>
      </w:rPr>
    </w:pPr>
  </w:p>
  <w:p w14:paraId="09A8A412" w14:textId="77777777" w:rsidR="005B18AB" w:rsidRDefault="005B1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Pidipagina"/>
          <w:jc w:val="center"/>
        </w:pPr>
        <w:r>
          <w:fldChar w:fldCharType="begin"/>
        </w:r>
        <w:r>
          <w:instrText>PAGE   \* MERGEFORMAT</w:instrText>
        </w:r>
        <w:r>
          <w:fldChar w:fldCharType="separate"/>
        </w:r>
        <w:r>
          <w:rPr>
            <w:lang w:val="it-IT"/>
          </w:rPr>
          <w:t>2</w:t>
        </w:r>
        <w:r>
          <w:fldChar w:fldCharType="end"/>
        </w:r>
      </w:p>
    </w:sdtContent>
  </w:sdt>
  <w:p w14:paraId="587D00BC" w14:textId="623E4B82" w:rsidR="005B18AB" w:rsidRPr="005B18AB" w:rsidRDefault="005B18AB" w:rsidP="005B18AB">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8F47" w14:textId="77777777" w:rsidR="00D32198" w:rsidRDefault="00D32198" w:rsidP="00721207">
      <w:pPr>
        <w:spacing w:after="0" w:line="240" w:lineRule="auto"/>
      </w:pPr>
      <w:r>
        <w:separator/>
      </w:r>
    </w:p>
  </w:footnote>
  <w:footnote w:type="continuationSeparator" w:id="0">
    <w:p w14:paraId="6F9120C3" w14:textId="77777777" w:rsidR="00D32198" w:rsidRDefault="00D32198"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F032BD0" w:rsidR="00721207" w:rsidRPr="00CC0B32" w:rsidRDefault="00CC0B32">
    <w:pPr>
      <w:pStyle w:val="Intestazione"/>
      <w:rPr>
        <w:rFonts w:ascii="Garamond" w:hAnsi="Garamond"/>
        <w:sz w:val="24"/>
        <w:szCs w:val="24"/>
      </w:rPr>
    </w:pPr>
    <w:r w:rsidRPr="00CC0B32">
      <w:rPr>
        <w:rFonts w:ascii="Garamond" w:hAnsi="Garamond"/>
        <w:sz w:val="24"/>
        <w:szCs w:val="24"/>
      </w:rPr>
      <w:t xml:space="preserve">MJCP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9AC"/>
    <w:multiLevelType w:val="hybridMultilevel"/>
    <w:tmpl w:val="698ED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883394">
    <w:abstractNumId w:val="1"/>
  </w:num>
  <w:num w:numId="2" w16cid:durableId="64278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444C5"/>
    <w:rsid w:val="000C5F6A"/>
    <w:rsid w:val="000D10ED"/>
    <w:rsid w:val="000E5171"/>
    <w:rsid w:val="0011354F"/>
    <w:rsid w:val="00142407"/>
    <w:rsid w:val="00181A1B"/>
    <w:rsid w:val="001D44C4"/>
    <w:rsid w:val="001F2093"/>
    <w:rsid w:val="00202B37"/>
    <w:rsid w:val="00207593"/>
    <w:rsid w:val="00225859"/>
    <w:rsid w:val="002649F0"/>
    <w:rsid w:val="00272904"/>
    <w:rsid w:val="002B3969"/>
    <w:rsid w:val="002C6388"/>
    <w:rsid w:val="002E4A00"/>
    <w:rsid w:val="00311F0C"/>
    <w:rsid w:val="0036577E"/>
    <w:rsid w:val="00386F6E"/>
    <w:rsid w:val="003A2FBC"/>
    <w:rsid w:val="003C70ED"/>
    <w:rsid w:val="003E0589"/>
    <w:rsid w:val="003F1F54"/>
    <w:rsid w:val="00403EC7"/>
    <w:rsid w:val="00425E0F"/>
    <w:rsid w:val="00443F82"/>
    <w:rsid w:val="00445D64"/>
    <w:rsid w:val="00467667"/>
    <w:rsid w:val="004969B5"/>
    <w:rsid w:val="004F611F"/>
    <w:rsid w:val="005026CF"/>
    <w:rsid w:val="005075CE"/>
    <w:rsid w:val="00516F6F"/>
    <w:rsid w:val="0054549F"/>
    <w:rsid w:val="00571C49"/>
    <w:rsid w:val="005745D9"/>
    <w:rsid w:val="00577EDC"/>
    <w:rsid w:val="005B18AB"/>
    <w:rsid w:val="0062771F"/>
    <w:rsid w:val="00673C32"/>
    <w:rsid w:val="006A0AE7"/>
    <w:rsid w:val="006E2AA3"/>
    <w:rsid w:val="006E4F88"/>
    <w:rsid w:val="006E7BD9"/>
    <w:rsid w:val="00721207"/>
    <w:rsid w:val="007560FC"/>
    <w:rsid w:val="007944DE"/>
    <w:rsid w:val="007E72BF"/>
    <w:rsid w:val="00836B28"/>
    <w:rsid w:val="0084635B"/>
    <w:rsid w:val="00874A99"/>
    <w:rsid w:val="0088198C"/>
    <w:rsid w:val="00890EE7"/>
    <w:rsid w:val="008B6F8C"/>
    <w:rsid w:val="00983CE7"/>
    <w:rsid w:val="0099295B"/>
    <w:rsid w:val="009A37F8"/>
    <w:rsid w:val="009C108C"/>
    <w:rsid w:val="009E3ED0"/>
    <w:rsid w:val="00A03EF1"/>
    <w:rsid w:val="00A145EB"/>
    <w:rsid w:val="00A51365"/>
    <w:rsid w:val="00A66879"/>
    <w:rsid w:val="00B22030"/>
    <w:rsid w:val="00B45E8B"/>
    <w:rsid w:val="00B8557C"/>
    <w:rsid w:val="00B92980"/>
    <w:rsid w:val="00C05570"/>
    <w:rsid w:val="00C57903"/>
    <w:rsid w:val="00C70414"/>
    <w:rsid w:val="00C8277E"/>
    <w:rsid w:val="00C92C88"/>
    <w:rsid w:val="00CC0B32"/>
    <w:rsid w:val="00CD252C"/>
    <w:rsid w:val="00CD569B"/>
    <w:rsid w:val="00D32198"/>
    <w:rsid w:val="00D50564"/>
    <w:rsid w:val="00D50C4A"/>
    <w:rsid w:val="00DB5C68"/>
    <w:rsid w:val="00DE5CAB"/>
    <w:rsid w:val="00E06240"/>
    <w:rsid w:val="00E27374"/>
    <w:rsid w:val="00E514F5"/>
    <w:rsid w:val="00EA5EC0"/>
    <w:rsid w:val="00EB4980"/>
    <w:rsid w:val="00EF3A53"/>
    <w:rsid w:val="00F27C27"/>
    <w:rsid w:val="00F41ECC"/>
    <w:rsid w:val="00F90E4C"/>
    <w:rsid w:val="00FB3001"/>
    <w:rsid w:val="00FF58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07"/>
  </w:style>
  <w:style w:type="paragraph" w:styleId="Pidipagina">
    <w:name w:val="footer"/>
    <w:basedOn w:val="Normale"/>
    <w:link w:val="PidipaginaCarattere"/>
    <w:uiPriority w:val="99"/>
    <w:unhideWhenUsed/>
    <w:rsid w:val="0072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07"/>
  </w:style>
  <w:style w:type="table" w:styleId="Grigliatabella">
    <w:name w:val="Table Grid"/>
    <w:basedOn w:val="Tabellanormale"/>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riga">
    <w:name w:val="line number"/>
    <w:basedOn w:val="Carpredefinitoparagrafo"/>
    <w:uiPriority w:val="99"/>
    <w:semiHidden/>
    <w:unhideWhenUsed/>
    <w:rsid w:val="00C05570"/>
  </w:style>
  <w:style w:type="character" w:styleId="Collegamentoipertestuale">
    <w:name w:val="Hyperlink"/>
    <w:basedOn w:val="Carpredefinitoparagrafo"/>
    <w:uiPriority w:val="99"/>
    <w:unhideWhenUsed/>
    <w:rsid w:val="002C6388"/>
    <w:rPr>
      <w:color w:val="0563C1" w:themeColor="hyperlink"/>
      <w:u w:val="single"/>
    </w:rPr>
  </w:style>
  <w:style w:type="character" w:styleId="Menzionenonrisolta">
    <w:name w:val="Unresolved Mention"/>
    <w:basedOn w:val="Carpredefinitoparagrafo"/>
    <w:uiPriority w:val="99"/>
    <w:semiHidden/>
    <w:unhideWhenUsed/>
    <w:rsid w:val="002C6388"/>
    <w:rPr>
      <w:color w:val="605E5C"/>
      <w:shd w:val="clear" w:color="auto" w:fill="E1DFDD"/>
    </w:rPr>
  </w:style>
  <w:style w:type="character" w:styleId="Collegamentovisitato">
    <w:name w:val="FollowedHyperlink"/>
    <w:basedOn w:val="Carpredefinitoparagrafo"/>
    <w:uiPriority w:val="99"/>
    <w:semiHidden/>
    <w:unhideWhenUsed/>
    <w:rsid w:val="00B45E8B"/>
    <w:rPr>
      <w:color w:val="954F72" w:themeColor="followedHyperlink"/>
      <w:u w:val="single"/>
    </w:rPr>
  </w:style>
  <w:style w:type="paragraph" w:styleId="NormaleWeb">
    <w:name w:val="Normal (Web)"/>
    <w:basedOn w:val="Normale"/>
    <w:uiPriority w:val="99"/>
    <w:unhideWhenUsed/>
    <w:rsid w:val="00B45E8B"/>
    <w:rPr>
      <w:rFonts w:ascii="Times New Roman" w:hAnsi="Times New Roman" w:cs="Times New Roman"/>
      <w:sz w:val="24"/>
      <w:szCs w:val="24"/>
    </w:rPr>
  </w:style>
  <w:style w:type="paragraph" w:styleId="Paragrafoelenco">
    <w:name w:val="List Paragraph"/>
    <w:basedOn w:val="Normale"/>
    <w:uiPriority w:val="34"/>
    <w:qFormat/>
    <w:rsid w:val="009A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3239">
      <w:bodyDiv w:val="1"/>
      <w:marLeft w:val="0"/>
      <w:marRight w:val="0"/>
      <w:marTop w:val="0"/>
      <w:marBottom w:val="0"/>
      <w:divBdr>
        <w:top w:val="none" w:sz="0" w:space="0" w:color="auto"/>
        <w:left w:val="none" w:sz="0" w:space="0" w:color="auto"/>
        <w:bottom w:val="none" w:sz="0" w:space="0" w:color="auto"/>
        <w:right w:val="none" w:sz="0" w:space="0" w:color="auto"/>
      </w:divBdr>
    </w:div>
    <w:div w:id="473572654">
      <w:bodyDiv w:val="1"/>
      <w:marLeft w:val="0"/>
      <w:marRight w:val="0"/>
      <w:marTop w:val="0"/>
      <w:marBottom w:val="0"/>
      <w:divBdr>
        <w:top w:val="none" w:sz="0" w:space="0" w:color="auto"/>
        <w:left w:val="none" w:sz="0" w:space="0" w:color="auto"/>
        <w:bottom w:val="none" w:sz="0" w:space="0" w:color="auto"/>
        <w:right w:val="none" w:sz="0" w:space="0" w:color="auto"/>
      </w:divBdr>
    </w:div>
    <w:div w:id="495148223">
      <w:bodyDiv w:val="1"/>
      <w:marLeft w:val="0"/>
      <w:marRight w:val="0"/>
      <w:marTop w:val="0"/>
      <w:marBottom w:val="0"/>
      <w:divBdr>
        <w:top w:val="none" w:sz="0" w:space="0" w:color="auto"/>
        <w:left w:val="none" w:sz="0" w:space="0" w:color="auto"/>
        <w:bottom w:val="none" w:sz="0" w:space="0" w:color="auto"/>
        <w:right w:val="none" w:sz="0" w:space="0" w:color="auto"/>
      </w:divBdr>
    </w:div>
    <w:div w:id="542442738">
      <w:bodyDiv w:val="1"/>
      <w:marLeft w:val="0"/>
      <w:marRight w:val="0"/>
      <w:marTop w:val="0"/>
      <w:marBottom w:val="0"/>
      <w:divBdr>
        <w:top w:val="none" w:sz="0" w:space="0" w:color="auto"/>
        <w:left w:val="none" w:sz="0" w:space="0" w:color="auto"/>
        <w:bottom w:val="none" w:sz="0" w:space="0" w:color="auto"/>
        <w:right w:val="none" w:sz="0" w:space="0" w:color="auto"/>
      </w:divBdr>
    </w:div>
    <w:div w:id="671840814">
      <w:bodyDiv w:val="1"/>
      <w:marLeft w:val="0"/>
      <w:marRight w:val="0"/>
      <w:marTop w:val="0"/>
      <w:marBottom w:val="0"/>
      <w:divBdr>
        <w:top w:val="none" w:sz="0" w:space="0" w:color="auto"/>
        <w:left w:val="none" w:sz="0" w:space="0" w:color="auto"/>
        <w:bottom w:val="none" w:sz="0" w:space="0" w:color="auto"/>
        <w:right w:val="none" w:sz="0" w:space="0" w:color="auto"/>
      </w:divBdr>
    </w:div>
    <w:div w:id="743063322">
      <w:bodyDiv w:val="1"/>
      <w:marLeft w:val="0"/>
      <w:marRight w:val="0"/>
      <w:marTop w:val="0"/>
      <w:marBottom w:val="0"/>
      <w:divBdr>
        <w:top w:val="none" w:sz="0" w:space="0" w:color="auto"/>
        <w:left w:val="none" w:sz="0" w:space="0" w:color="auto"/>
        <w:bottom w:val="none" w:sz="0" w:space="0" w:color="auto"/>
        <w:right w:val="none" w:sz="0" w:space="0" w:color="auto"/>
      </w:divBdr>
    </w:div>
    <w:div w:id="773402822">
      <w:bodyDiv w:val="1"/>
      <w:marLeft w:val="0"/>
      <w:marRight w:val="0"/>
      <w:marTop w:val="0"/>
      <w:marBottom w:val="0"/>
      <w:divBdr>
        <w:top w:val="none" w:sz="0" w:space="0" w:color="auto"/>
        <w:left w:val="none" w:sz="0" w:space="0" w:color="auto"/>
        <w:bottom w:val="none" w:sz="0" w:space="0" w:color="auto"/>
        <w:right w:val="none" w:sz="0" w:space="0" w:color="auto"/>
      </w:divBdr>
    </w:div>
    <w:div w:id="846136731">
      <w:bodyDiv w:val="1"/>
      <w:marLeft w:val="0"/>
      <w:marRight w:val="0"/>
      <w:marTop w:val="0"/>
      <w:marBottom w:val="0"/>
      <w:divBdr>
        <w:top w:val="none" w:sz="0" w:space="0" w:color="auto"/>
        <w:left w:val="none" w:sz="0" w:space="0" w:color="auto"/>
        <w:bottom w:val="none" w:sz="0" w:space="0" w:color="auto"/>
        <w:right w:val="none" w:sz="0" w:space="0" w:color="auto"/>
      </w:divBdr>
    </w:div>
    <w:div w:id="1539467580">
      <w:bodyDiv w:val="1"/>
      <w:marLeft w:val="0"/>
      <w:marRight w:val="0"/>
      <w:marTop w:val="0"/>
      <w:marBottom w:val="0"/>
      <w:divBdr>
        <w:top w:val="none" w:sz="0" w:space="0" w:color="auto"/>
        <w:left w:val="none" w:sz="0" w:space="0" w:color="auto"/>
        <w:bottom w:val="none" w:sz="0" w:space="0" w:color="auto"/>
        <w:right w:val="none" w:sz="0" w:space="0" w:color="auto"/>
      </w:divBdr>
    </w:div>
    <w:div w:id="1684818835">
      <w:bodyDiv w:val="1"/>
      <w:marLeft w:val="0"/>
      <w:marRight w:val="0"/>
      <w:marTop w:val="0"/>
      <w:marBottom w:val="0"/>
      <w:divBdr>
        <w:top w:val="none" w:sz="0" w:space="0" w:color="auto"/>
        <w:left w:val="none" w:sz="0" w:space="0" w:color="auto"/>
        <w:bottom w:val="none" w:sz="0" w:space="0" w:color="auto"/>
        <w:right w:val="none" w:sz="0" w:space="0" w:color="auto"/>
      </w:divBdr>
    </w:div>
    <w:div w:id="1964187340">
      <w:bodyDiv w:val="1"/>
      <w:marLeft w:val="0"/>
      <w:marRight w:val="0"/>
      <w:marTop w:val="0"/>
      <w:marBottom w:val="0"/>
      <w:divBdr>
        <w:top w:val="none" w:sz="0" w:space="0" w:color="auto"/>
        <w:left w:val="none" w:sz="0" w:space="0" w:color="auto"/>
        <w:bottom w:val="none" w:sz="0" w:space="0" w:color="auto"/>
        <w:right w:val="none" w:sz="0" w:space="0" w:color="auto"/>
      </w:divBdr>
      <w:divsChild>
        <w:div w:id="257061942">
          <w:marLeft w:val="0"/>
          <w:marRight w:val="0"/>
          <w:marTop w:val="0"/>
          <w:marBottom w:val="0"/>
          <w:divBdr>
            <w:top w:val="none" w:sz="0" w:space="0" w:color="auto"/>
            <w:left w:val="none" w:sz="0" w:space="0" w:color="auto"/>
            <w:bottom w:val="none" w:sz="0" w:space="0" w:color="auto"/>
            <w:right w:val="none" w:sz="0" w:space="0" w:color="auto"/>
          </w:divBdr>
          <w:divsChild>
            <w:div w:id="245265436">
              <w:marLeft w:val="0"/>
              <w:marRight w:val="0"/>
              <w:marTop w:val="0"/>
              <w:marBottom w:val="0"/>
              <w:divBdr>
                <w:top w:val="none" w:sz="0" w:space="0" w:color="auto"/>
                <w:left w:val="none" w:sz="0" w:space="0" w:color="auto"/>
                <w:bottom w:val="none" w:sz="0" w:space="0" w:color="auto"/>
                <w:right w:val="none" w:sz="0" w:space="0" w:color="auto"/>
              </w:divBdr>
              <w:divsChild>
                <w:div w:id="648287764">
                  <w:marLeft w:val="0"/>
                  <w:marRight w:val="0"/>
                  <w:marTop w:val="0"/>
                  <w:marBottom w:val="0"/>
                  <w:divBdr>
                    <w:top w:val="none" w:sz="0" w:space="0" w:color="auto"/>
                    <w:left w:val="none" w:sz="0" w:space="0" w:color="auto"/>
                    <w:bottom w:val="none" w:sz="0" w:space="0" w:color="auto"/>
                    <w:right w:val="none" w:sz="0" w:space="0" w:color="auto"/>
                  </w:divBdr>
                  <w:divsChild>
                    <w:div w:id="486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55445">
      <w:bodyDiv w:val="1"/>
      <w:marLeft w:val="0"/>
      <w:marRight w:val="0"/>
      <w:marTop w:val="0"/>
      <w:marBottom w:val="0"/>
      <w:divBdr>
        <w:top w:val="none" w:sz="0" w:space="0" w:color="auto"/>
        <w:left w:val="none" w:sz="0" w:space="0" w:color="auto"/>
        <w:bottom w:val="none" w:sz="0" w:space="0" w:color="auto"/>
        <w:right w:val="none" w:sz="0" w:space="0" w:color="auto"/>
      </w:divBdr>
    </w:div>
    <w:div w:id="21286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da.20618" TargetMode="External"/><Relationship Id="rId18" Type="http://schemas.openxmlformats.org/officeDocument/2006/relationships/hyperlink" Target="https://doi.org/10.1007/s005200050241" TargetMode="External"/><Relationship Id="rId26" Type="http://schemas.openxmlformats.org/officeDocument/2006/relationships/hyperlink" Target="https://doi.org/10.3109/00048678709158917" TargetMode="External"/><Relationship Id="rId39" Type="http://schemas.openxmlformats.org/officeDocument/2006/relationships/hyperlink" Target="https://doi.org/10.1093/qjmed/hcab007" TargetMode="External"/><Relationship Id="rId21" Type="http://schemas.openxmlformats.org/officeDocument/2006/relationships/hyperlink" Target="https://doi.org/10.3389/fpsyg.2021.564227" TargetMode="External"/><Relationship Id="rId34" Type="http://schemas.openxmlformats.org/officeDocument/2006/relationships/hyperlink" Target="https://doi.org/10.1136/bmjgh-2021-005427" TargetMode="External"/><Relationship Id="rId42" Type="http://schemas.openxmlformats.org/officeDocument/2006/relationships/hyperlink" Target="https://doi.org/10.1371/journal.pone.0120952" TargetMode="External"/><Relationship Id="rId47" Type="http://schemas.openxmlformats.org/officeDocument/2006/relationships/hyperlink" Target="https://doi.org/10.1111/j.1600-0447.1983.tb09716.x"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MLR.0b013e31822ebed9" TargetMode="External"/><Relationship Id="rId29" Type="http://schemas.openxmlformats.org/officeDocument/2006/relationships/hyperlink" Target="https://doi.org/10.1111/aphw.12268" TargetMode="External"/><Relationship Id="rId11" Type="http://schemas.openxmlformats.org/officeDocument/2006/relationships/hyperlink" Target="https://doi.org/10.6092/2282-1619/mjcp-2559" TargetMode="External"/><Relationship Id="rId24" Type="http://schemas.openxmlformats.org/officeDocument/2006/relationships/hyperlink" Target="https://doi.org/10.1016/j.jad.2021.05.060" TargetMode="External"/><Relationship Id="rId32" Type="http://schemas.openxmlformats.org/officeDocument/2006/relationships/hyperlink" Target="https://doi.org/10.1016/j.bbi.2020.07.037" TargetMode="External"/><Relationship Id="rId37" Type="http://schemas.openxmlformats.org/officeDocument/2006/relationships/hyperlink" Target="https://doi.org/10.13129/2282-1619/mjcp-3288" TargetMode="External"/><Relationship Id="rId40" Type="http://schemas.openxmlformats.org/officeDocument/2006/relationships/hyperlink" Target="https://doi.org/10.1136/pgmj.74.873.408" TargetMode="External"/><Relationship Id="rId45" Type="http://schemas.openxmlformats.org/officeDocument/2006/relationships/hyperlink" Target="https://doi.org/10.1371/journal.pone.0260568"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16/j.cmi.2021.11.002" TargetMode="External"/><Relationship Id="rId19" Type="http://schemas.openxmlformats.org/officeDocument/2006/relationships/hyperlink" Target="https://doi.org/10.2147/NDT.S51793" TargetMode="External"/><Relationship Id="rId31" Type="http://schemas.openxmlformats.org/officeDocument/2006/relationships/hyperlink" Target="https://doi.org/10.1002/ijop.12529" TargetMode="External"/><Relationship Id="rId44" Type="http://schemas.openxmlformats.org/officeDocument/2006/relationships/hyperlink" Target="https://doi.org/10.3389/fgwh.2020.58837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1136-021-02908-z" TargetMode="External"/><Relationship Id="rId14" Type="http://schemas.openxmlformats.org/officeDocument/2006/relationships/hyperlink" Target="https://doi.org/10.1016/j.psychres.2020.113599" TargetMode="External"/><Relationship Id="rId22" Type="http://schemas.openxmlformats.org/officeDocument/2006/relationships/hyperlink" Target="https://doi.org/10.1111/nyas.14506" TargetMode="External"/><Relationship Id="rId27" Type="http://schemas.openxmlformats.org/officeDocument/2006/relationships/hyperlink" Target="https://doi.org/10.1037/a0015309" TargetMode="External"/><Relationship Id="rId30" Type="http://schemas.openxmlformats.org/officeDocument/2006/relationships/hyperlink" Target="https://doi.org/10.4088/JCP.21br14098" TargetMode="External"/><Relationship Id="rId35" Type="http://schemas.openxmlformats.org/officeDocument/2006/relationships/hyperlink" Target="https://doi.org/10.1007/s12020-020-02536-6" TargetMode="External"/><Relationship Id="rId43" Type="http://schemas.openxmlformats.org/officeDocument/2006/relationships/hyperlink" Target="https://doi.org/10.1016/j.jad.2020.08.040" TargetMode="External"/><Relationship Id="rId48" Type="http://schemas.openxmlformats.org/officeDocument/2006/relationships/header" Target="header1.xml"/><Relationship Id="rId8" Type="http://schemas.openxmlformats.org/officeDocument/2006/relationships/hyperlink" Target="https://doi.org/10.2340/16501977-2694"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93/cvr/cvaa284" TargetMode="External"/><Relationship Id="rId17" Type="http://schemas.openxmlformats.org/officeDocument/2006/relationships/hyperlink" Target="https://doi.org/10.1002/da.10113" TargetMode="External"/><Relationship Id="rId25" Type="http://schemas.openxmlformats.org/officeDocument/2006/relationships/hyperlink" Target="https://doi.org/10.3390/jcm11020413" TargetMode="External"/><Relationship Id="rId33" Type="http://schemas.openxmlformats.org/officeDocument/2006/relationships/hyperlink" Target="https://doi.org/10.1016/S0191-8869(03)00118-1" TargetMode="External"/><Relationship Id="rId38" Type="http://schemas.openxmlformats.org/officeDocument/2006/relationships/hyperlink" Target="https://doi.org/10.13129/2282-1619/mjcp-3369" TargetMode="External"/><Relationship Id="rId46" Type="http://schemas.openxmlformats.org/officeDocument/2006/relationships/hyperlink" Target="https://doi.org/10.1016/j.ssmph.2016.11.005" TargetMode="External"/><Relationship Id="rId20" Type="http://schemas.openxmlformats.org/officeDocument/2006/relationships/hyperlink" Target="https://doi.org/10.1186/s13027-021-00401-3" TargetMode="External"/><Relationship Id="rId41" Type="http://schemas.openxmlformats.org/officeDocument/2006/relationships/hyperlink" Target="https://doi.org/10.1016/j.ufug.2021.1271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136-010-9673-x" TargetMode="External"/><Relationship Id="rId23" Type="http://schemas.openxmlformats.org/officeDocument/2006/relationships/hyperlink" Target="https://doi.org/10.1016/j.socscimed.2003.09.008" TargetMode="External"/><Relationship Id="rId28" Type="http://schemas.openxmlformats.org/officeDocument/2006/relationships/hyperlink" Target="http://dx.doi.org/10.1136/pgmj.74.873.408" TargetMode="External"/><Relationship Id="rId36" Type="http://schemas.openxmlformats.org/officeDocument/2006/relationships/hyperlink" Target="https://doi.org/10.3390/healthcare9050575"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C1E4-B4C9-1743-AE7E-BBB3BAF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6887</Words>
  <Characters>39257</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46052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Severo</dc:creator>
  <cp:keywords/>
  <dc:description/>
  <cp:lastModifiedBy>Melania Severo</cp:lastModifiedBy>
  <cp:revision>2</cp:revision>
  <cp:lastPrinted>2022-12-01T17:52:00Z</cp:lastPrinted>
  <dcterms:created xsi:type="dcterms:W3CDTF">2022-12-27T16:06:00Z</dcterms:created>
  <dcterms:modified xsi:type="dcterms:W3CDTF">2022-12-27T16:06:00Z</dcterms:modified>
  <cp:category/>
</cp:coreProperties>
</file>