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line="360" w:lineRule="auto"/>
        <w:jc w:val="center"/>
        <w:rPr>
          <w:rFonts w:ascii="Garamond" w:cs="Garamond" w:hAnsi="Garamond" w:eastAsia="Garamond"/>
          <w:b w:val="1"/>
          <w:bCs w:val="1"/>
          <w:outline w:val="0"/>
          <w:color w:val="c00000"/>
          <w:sz w:val="28"/>
          <w:szCs w:val="28"/>
          <w:u w:color="c00000"/>
          <w14:textFill>
            <w14:solidFill>
              <w14:srgbClr w14:val="C00000"/>
            </w14:solidFill>
          </w14:textFill>
        </w:rPr>
      </w:pPr>
      <w:r>
        <w:rPr>
          <w:rFonts w:ascii="Garamond" w:hAnsi="Garamond"/>
          <w:b w:val="1"/>
          <w:bCs w:val="1"/>
          <w:outline w:val="0"/>
          <w:color w:val="c00000"/>
          <w:sz w:val="28"/>
          <w:szCs w:val="28"/>
          <w:u w:color="c00000"/>
          <w:rtl w:val="0"/>
          <w:lang w:val="en-US"/>
          <w14:textFill>
            <w14:solidFill>
              <w14:srgbClr w14:val="C00000"/>
            </w14:solidFill>
          </w14:textFill>
        </w:rPr>
        <w:t>Submission template</w:t>
      </w:r>
    </w:p>
    <w:p>
      <w:pPr>
        <w:pStyle w:val="Normal.0"/>
        <w:spacing w:line="360" w:lineRule="auto"/>
        <w:rPr>
          <w:rFonts w:ascii="Garamond" w:cs="Garamond" w:hAnsi="Garamond" w:eastAsia="Garamond"/>
          <w:b w:val="1"/>
          <w:bCs w:val="1"/>
        </w:rPr>
      </w:pPr>
      <w:r>
        <w:rPr>
          <w:rFonts w:ascii="Garamond" w:hAnsi="Garamond"/>
          <w:b w:val="1"/>
          <w:bCs w:val="1"/>
          <w:sz w:val="24"/>
          <w:szCs w:val="24"/>
          <w:rtl w:val="0"/>
          <w:lang w:val="en-US"/>
        </w:rPr>
        <w:t xml:space="preserve">TITLE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b w:val="1"/>
          <w:bCs w:val="1"/>
          <w:rtl w:val="0"/>
          <w:lang w:val="en-US"/>
        </w:rPr>
        <w:t>Impact of Covid-19 on mental health and the role of personality: Preliminary data from a sample of young Italian students</w:t>
      </w:r>
    </w:p>
    <w:p>
      <w:pPr>
        <w:pStyle w:val="Normal.0"/>
        <w:spacing w:line="360" w:lineRule="auto"/>
        <w:rPr>
          <w:rFonts w:ascii="Garamond" w:cs="Garamond" w:hAnsi="Garamond" w:eastAsia="Garamond"/>
          <w:b w:val="1"/>
          <w:bCs w:val="1"/>
          <w:sz w:val="24"/>
          <w:szCs w:val="24"/>
        </w:rPr>
      </w:pPr>
    </w:p>
    <w:p>
      <w:pPr>
        <w:pStyle w:val="Normal.0"/>
        <w:spacing w:line="360" w:lineRule="auto"/>
        <w:rPr>
          <w:rFonts w:ascii="Garamond" w:cs="Garamond" w:hAnsi="Garamond" w:eastAsia="Garamond"/>
          <w:b w:val="1"/>
          <w:bCs w:val="1"/>
        </w:rPr>
      </w:pPr>
      <w:r>
        <w:rPr>
          <w:rFonts w:ascii="Garamond" w:hAnsi="Garamond"/>
          <w:b w:val="1"/>
          <w:bCs w:val="1"/>
          <w:sz w:val="24"/>
          <w:szCs w:val="24"/>
          <w:rtl w:val="0"/>
          <w:lang w:val="en-US"/>
        </w:rPr>
        <w:t xml:space="preserve">RUNNING TITLE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b w:val="1"/>
          <w:bCs w:val="1"/>
          <w:rtl w:val="0"/>
          <w:lang w:val="en-US"/>
        </w:rPr>
        <w:t>Impact of Covid-19 on mental health</w:t>
      </w:r>
    </w:p>
    <w:p>
      <w:pPr>
        <w:pStyle w:val="Normal.0"/>
        <w:spacing w:line="360" w:lineRule="auto"/>
        <w:rPr>
          <w:rFonts w:ascii="Garamond" w:cs="Garamond" w:hAnsi="Garamond" w:eastAsia="Garamond"/>
        </w:rPr>
      </w:pPr>
    </w:p>
    <w:p>
      <w:pPr>
        <w:pStyle w:val="Normal.0"/>
        <w:spacing w:after="0" w:line="360" w:lineRule="auto"/>
        <w:jc w:val="both"/>
        <w:rPr>
          <w:rFonts w:ascii="Garamond" w:cs="Garamond" w:hAnsi="Garamond" w:eastAsia="Garamond"/>
          <w:sz w:val="24"/>
          <w:szCs w:val="24"/>
        </w:rPr>
      </w:pPr>
      <w:r>
        <w:rPr>
          <w:rFonts w:ascii="Garamond" w:hAnsi="Garamond"/>
          <w:b w:val="1"/>
          <w:bCs w:val="1"/>
          <w:sz w:val="24"/>
          <w:szCs w:val="24"/>
          <w:rtl w:val="0"/>
          <w:lang w:val="en-US"/>
        </w:rPr>
        <w:t xml:space="preserve">Abstract </w:t>
      </w:r>
      <w:r>
        <w:rPr>
          <w:rFonts w:ascii="Garamond" w:hAnsi="Garamond"/>
          <w:b w:val="1"/>
          <w:bCs w:val="1"/>
          <w:sz w:val="24"/>
          <w:szCs w:val="24"/>
          <w:vertAlign w:val="superscript"/>
          <w:rtl w:val="0"/>
          <w:lang w:val="en-US"/>
        </w:rPr>
        <w:t xml:space="preserve">* </w:t>
      </w:r>
      <w:r>
        <w:rPr>
          <w:rFonts w:ascii="Garamond" w:hAnsi="Garamond"/>
          <w:sz w:val="24"/>
          <w:szCs w:val="24"/>
          <w:rtl w:val="0"/>
          <w:lang w:val="en-US"/>
        </w:rPr>
        <w:t>(Preferably structured / max 350 words)</w:t>
      </w:r>
      <w:r>
        <w:rPr>
          <w:rFonts w:ascii="Garamond" w:hAnsi="Garamond"/>
          <w:b w:val="1"/>
          <w:bCs w:val="1"/>
          <w:sz w:val="24"/>
          <w:szCs w:val="24"/>
          <w:rtl w:val="0"/>
          <w:lang w:val="en-US"/>
        </w:rPr>
        <w:t xml:space="preserve">: </w:t>
      </w:r>
      <w:r>
        <w:rPr>
          <w:rFonts w:ascii="Garamond" w:cs="Garamond" w:hAnsi="Garamond" w:eastAsia="Garamond"/>
          <w:b w:val="1"/>
          <w:bCs w:val="1"/>
          <w:sz w:val="24"/>
          <w:szCs w:val="24"/>
        </w:rPr>
        <w:br w:type="textWrapping"/>
      </w:r>
      <w:r>
        <w:rPr>
          <w:rFonts w:ascii="Garamond" w:hAnsi="Garamond"/>
          <w:sz w:val="24"/>
          <w:szCs w:val="24"/>
          <w:rtl w:val="0"/>
          <w:lang w:val="it-IT"/>
        </w:rPr>
        <w:t xml:space="preserve">Introduction: </w:t>
      </w:r>
      <w:r>
        <w:rPr>
          <w:rFonts w:ascii="Garamond" w:hAnsi="Garamond"/>
          <w:sz w:val="24"/>
          <w:szCs w:val="24"/>
          <w:rtl w:val="0"/>
          <w:lang w:val="en-US"/>
        </w:rPr>
        <w:t xml:space="preserve">The aim of the current study is to describe the stress levels of university students during this new phase of the pandemic (Spring 2022) that is a gradual approach to normality. Moreover, the authors want to highlight the influence of personality traits on the distress. </w:t>
      </w:r>
      <w:r>
        <w:rPr>
          <w:rFonts w:ascii="Garamond" w:cs="Garamond" w:hAnsi="Garamond" w:eastAsia="Garamond"/>
          <w:sz w:val="24"/>
          <w:szCs w:val="24"/>
        </w:rPr>
        <w:br w:type="textWrapping"/>
      </w:r>
      <w:r>
        <w:rPr>
          <w:rFonts w:ascii="Garamond" w:hAnsi="Garamond"/>
          <w:sz w:val="24"/>
          <w:szCs w:val="24"/>
          <w:rtl w:val="0"/>
          <w:lang w:val="it-IT"/>
        </w:rPr>
        <w:t xml:space="preserve">Materials and Methods: </w:t>
      </w:r>
      <w:r>
        <w:rPr>
          <w:rFonts w:ascii="Garamond" w:hAnsi="Garamond"/>
          <w:sz w:val="24"/>
          <w:szCs w:val="24"/>
          <w:rtl w:val="0"/>
          <w:lang w:val="en-US"/>
        </w:rPr>
        <w:t xml:space="preserve">120 students from the University of Parma were consecutively recruited. A state tests (Symptom Questionnaire) and two trait tests (P Stress Questionnaire and 16-Personality Factors) were administered. In addition to descriptive analyses, with regression analyses we examined the amount of variance in psychological symptoms explained by the personality traits. </w:t>
      </w:r>
    </w:p>
    <w:p>
      <w:pPr>
        <w:pStyle w:val="Normal.0"/>
        <w:spacing w:after="0" w:line="360" w:lineRule="auto"/>
        <w:jc w:val="both"/>
        <w:rPr>
          <w:rFonts w:ascii="Garamond" w:cs="Garamond" w:hAnsi="Garamond" w:eastAsia="Garamond"/>
          <w:b w:val="1"/>
          <w:bCs w:val="1"/>
          <w:sz w:val="24"/>
          <w:szCs w:val="24"/>
        </w:rPr>
      </w:pPr>
      <w:r>
        <w:rPr>
          <w:rFonts w:ascii="Garamond" w:hAnsi="Garamond"/>
          <w:sz w:val="24"/>
          <w:szCs w:val="24"/>
          <w:rtl w:val="0"/>
          <w:lang w:val="it-IT"/>
        </w:rPr>
        <w:t xml:space="preserve">Results: </w:t>
      </w:r>
      <w:r>
        <w:rPr>
          <w:rFonts w:ascii="Garamond" w:hAnsi="Garamond"/>
          <w:sz w:val="24"/>
          <w:szCs w:val="24"/>
          <w:rtl w:val="0"/>
          <w:lang w:val="en-US"/>
        </w:rPr>
        <w:t xml:space="preserve">The analyses have shown that individual factors that predict Anxiety are high Tension and low Emotional Stability and Openness to Change as well as the difficulty in "disconnecting" from commitments. The inability to relax also predicts Somatic Complaints, along with Emotional Stability, Apprehension, and Vigilance. Lastly, Hostility is predicted by Tension, Emotional Stability, and Openness to Change, along with Expansiveness. Finally, depression has high Tension, low Social Audacity, and the presence of somatic disorders as predictors. </w:t>
      </w:r>
      <w:r>
        <w:rPr>
          <w:rFonts w:ascii="Garamond" w:cs="Garamond" w:hAnsi="Garamond" w:eastAsia="Garamond"/>
          <w:sz w:val="24"/>
          <w:szCs w:val="24"/>
        </w:rPr>
        <w:br w:type="textWrapping"/>
      </w:r>
      <w:r>
        <w:rPr>
          <w:rFonts w:ascii="Garamond" w:hAnsi="Garamond"/>
          <w:sz w:val="24"/>
          <w:szCs w:val="24"/>
          <w:rtl w:val="0"/>
          <w:lang w:val="it-IT"/>
        </w:rPr>
        <w:t>Conclusion: T</w:t>
      </w:r>
      <w:r>
        <w:rPr>
          <w:rFonts w:ascii="Garamond" w:hAnsi="Garamond"/>
          <w:sz w:val="24"/>
          <w:szCs w:val="24"/>
          <w:rtl w:val="0"/>
          <w:lang w:val="en-US"/>
        </w:rPr>
        <w:t>raits of neuroticism and introversion emerged in our sample and seem to modulate the psychological distress.</w:t>
      </w:r>
    </w:p>
    <w:p>
      <w:pPr>
        <w:pStyle w:val="Normal.0"/>
        <w:spacing w:line="360" w:lineRule="auto"/>
        <w:rPr>
          <w:rFonts w:ascii="Garamond" w:cs="Garamond" w:hAnsi="Garamond" w:eastAsia="Garamond"/>
          <w:b w:val="1"/>
          <w:bCs w:val="1"/>
          <w:sz w:val="24"/>
          <w:szCs w:val="24"/>
        </w:rPr>
      </w:pPr>
    </w:p>
    <w:p>
      <w:pPr>
        <w:pStyle w:val="Normal.0"/>
        <w:spacing w:line="360" w:lineRule="auto"/>
        <w:rPr>
          <w:rFonts w:ascii="Garamond" w:cs="Garamond" w:hAnsi="Garamond" w:eastAsia="Garamond"/>
          <w:sz w:val="24"/>
          <w:szCs w:val="24"/>
        </w:rPr>
      </w:pPr>
      <w:r>
        <w:rPr>
          <w:rFonts w:ascii="Garamond" w:hAnsi="Garamond"/>
          <w:b w:val="1"/>
          <w:bCs w:val="1"/>
          <w:sz w:val="24"/>
          <w:szCs w:val="24"/>
          <w:rtl w:val="0"/>
          <w:lang w:val="en-US"/>
        </w:rPr>
        <w:t xml:space="preserve">Keywords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i w:val="1"/>
          <w:iCs w:val="1"/>
          <w:rtl w:val="0"/>
          <w:lang w:val="en-US"/>
          <w14:textOutline w14:w="12700" w14:cap="flat">
            <w14:noFill/>
            <w14:miter w14:lim="400000"/>
          </w14:textOutline>
        </w:rPr>
        <w:t>Covid-19</w:t>
      </w:r>
      <w:r>
        <w:rPr>
          <w:rFonts w:ascii="Garamond" w:hAnsi="Garamond"/>
          <w:i w:val="1"/>
          <w:iCs w:val="1"/>
          <w:rtl w:val="0"/>
          <w:lang w:val="it-IT"/>
          <w14:textOutline w14:w="12700" w14:cap="flat">
            <w14:noFill/>
            <w14:miter w14:lim="400000"/>
          </w14:textOutline>
        </w:rPr>
        <w:t>;</w:t>
      </w:r>
      <w:r>
        <w:rPr>
          <w:rFonts w:ascii="Garamond" w:hAnsi="Garamond"/>
          <w:i w:val="1"/>
          <w:iCs w:val="1"/>
          <w:rtl w:val="0"/>
          <w:lang w:val="en-US"/>
          <w14:textOutline w14:w="12700" w14:cap="flat">
            <w14:noFill/>
            <w14:miter w14:lim="400000"/>
          </w14:textOutline>
        </w:rPr>
        <w:t xml:space="preserve"> Personality</w:t>
      </w:r>
      <w:r>
        <w:rPr>
          <w:rFonts w:ascii="Garamond" w:hAnsi="Garamond"/>
          <w:i w:val="1"/>
          <w:iCs w:val="1"/>
          <w:rtl w:val="0"/>
          <w:lang w:val="it-IT"/>
          <w14:textOutline w14:w="12700" w14:cap="flat">
            <w14:noFill/>
            <w14:miter w14:lim="400000"/>
          </w14:textOutline>
        </w:rPr>
        <w:t>;</w:t>
      </w:r>
      <w:r>
        <w:rPr>
          <w:rFonts w:ascii="Garamond" w:hAnsi="Garamond"/>
          <w:i w:val="1"/>
          <w:iCs w:val="1"/>
          <w:rtl w:val="0"/>
          <w:lang w:val="en-US"/>
          <w14:textOutline w14:w="12700" w14:cap="flat">
            <w14:noFill/>
            <w14:miter w14:lim="400000"/>
          </w14:textOutline>
        </w:rPr>
        <w:t xml:space="preserve"> Anxiety</w:t>
      </w:r>
      <w:r>
        <w:rPr>
          <w:rFonts w:ascii="Garamond" w:hAnsi="Garamond"/>
          <w:i w:val="1"/>
          <w:iCs w:val="1"/>
          <w:rtl w:val="0"/>
          <w:lang w:val="it-IT"/>
          <w14:textOutline w14:w="12700" w14:cap="flat">
            <w14:noFill/>
            <w14:miter w14:lim="400000"/>
          </w14:textOutline>
        </w:rPr>
        <w:t>;</w:t>
      </w:r>
      <w:r>
        <w:rPr>
          <w:rFonts w:ascii="Garamond" w:hAnsi="Garamond"/>
          <w:i w:val="1"/>
          <w:iCs w:val="1"/>
          <w:rtl w:val="0"/>
          <w:lang w:val="en-US"/>
          <w14:textOutline w14:w="12700" w14:cap="flat">
            <w14:noFill/>
            <w14:miter w14:lim="400000"/>
          </w14:textOutline>
        </w:rPr>
        <w:t xml:space="preserve"> Depression</w:t>
      </w:r>
      <w:r>
        <w:rPr>
          <w:rFonts w:ascii="Garamond" w:hAnsi="Garamond"/>
          <w:i w:val="1"/>
          <w:iCs w:val="1"/>
          <w:rtl w:val="0"/>
          <w:lang w:val="it-IT"/>
          <w14:textOutline w14:w="12700" w14:cap="flat">
            <w14:noFill/>
            <w14:miter w14:lim="400000"/>
          </w14:textOutline>
        </w:rPr>
        <w:t>;</w:t>
      </w:r>
      <w:r>
        <w:rPr>
          <w:rFonts w:ascii="Garamond" w:hAnsi="Garamond"/>
          <w:i w:val="1"/>
          <w:iCs w:val="1"/>
          <w:rtl w:val="0"/>
          <w:lang w:val="en-US"/>
          <w14:textOutline w14:w="12700" w14:cap="flat">
            <w14:noFill/>
            <w14:miter w14:lim="400000"/>
          </w14:textOutline>
        </w:rPr>
        <w:t xml:space="preserve"> Vulnerability to stress</w:t>
      </w:r>
      <w:r>
        <w:rPr>
          <w:rFonts w:ascii="Garamond" w:hAnsi="Garamond"/>
          <w:i w:val="1"/>
          <w:iCs w:val="1"/>
          <w:rtl w:val="0"/>
          <w:lang w:val="it-IT"/>
          <w14:textOutline w14:w="12700" w14:cap="flat">
            <w14:noFill/>
            <w14:miter w14:lim="400000"/>
          </w14:textOutline>
        </w:rPr>
        <w:t>.</w:t>
      </w:r>
    </w:p>
    <w:p>
      <w:pPr>
        <w:pStyle w:val="Normal.0"/>
        <w:spacing w:line="360" w:lineRule="auto"/>
        <w:rPr>
          <w:rFonts w:ascii="Garamond" w:cs="Garamond" w:hAnsi="Garamond" w:eastAsia="Garamond"/>
          <w:sz w:val="24"/>
          <w:szCs w:val="24"/>
        </w:rPr>
      </w:pPr>
    </w:p>
    <w:p>
      <w:pPr>
        <w:pStyle w:val="Normal.0"/>
        <w:spacing w:line="360" w:lineRule="auto"/>
        <w:rPr>
          <w:rFonts w:ascii="Garamond" w:cs="Garamond" w:hAnsi="Garamond" w:eastAsia="Garamond"/>
          <w:b w:val="1"/>
          <w:bCs w:val="1"/>
          <w:sz w:val="24"/>
          <w:szCs w:val="24"/>
        </w:rPr>
      </w:pPr>
      <w:r>
        <w:rPr>
          <w:rFonts w:ascii="Garamond" w:hAnsi="Garamond"/>
          <w:b w:val="1"/>
          <w:bCs w:val="1"/>
          <w:sz w:val="24"/>
          <w:szCs w:val="24"/>
          <w:rtl w:val="0"/>
          <w:lang w:val="en-US"/>
        </w:rPr>
        <w:t xml:space="preserve">Section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sz w:val="24"/>
          <w:szCs w:val="24"/>
          <w:rtl w:val="0"/>
          <w:lang w:val="it-IT"/>
        </w:rPr>
        <w:t>Clinical Psychology</w:t>
      </w:r>
    </w:p>
    <w:p>
      <w:pPr>
        <w:pStyle w:val="Normal.0"/>
        <w:spacing w:line="360" w:lineRule="auto"/>
        <w:rPr>
          <w:rFonts w:ascii="Garamond" w:cs="Garamond" w:hAnsi="Garamond" w:eastAsia="Garamond"/>
          <w:b w:val="1"/>
          <w:bCs w:val="1"/>
          <w:sz w:val="24"/>
          <w:szCs w:val="24"/>
        </w:rPr>
      </w:pPr>
    </w:p>
    <w:p>
      <w:pPr>
        <w:pStyle w:val="Normal.0"/>
        <w:spacing w:line="360" w:lineRule="auto"/>
        <w:rPr>
          <w:rFonts w:ascii="Garamond" w:cs="Garamond" w:hAnsi="Garamond" w:eastAsia="Garamond"/>
          <w:b w:val="1"/>
          <w:bCs w:val="1"/>
          <w:sz w:val="24"/>
          <w:szCs w:val="24"/>
        </w:rPr>
      </w:pPr>
      <w:r>
        <w:rPr>
          <w:rFonts w:ascii="Garamond" w:hAnsi="Garamond"/>
          <w:b w:val="1"/>
          <w:bCs w:val="1"/>
          <w:sz w:val="24"/>
          <w:szCs w:val="24"/>
          <w:rtl w:val="0"/>
          <w:lang w:val="en-US"/>
        </w:rPr>
        <w:t xml:space="preserve">Authors guidelines acknowledgement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(Authors statement):</w:t>
      </w:r>
      <w:r>
        <w:rPr>
          <w:rFonts w:ascii="Garamond" w:hAnsi="Garamond"/>
          <w:sz w:val="24"/>
          <w:szCs w:val="24"/>
          <w:rtl w:val="0"/>
          <w:lang w:val="en-US"/>
        </w:rPr>
        <w:t xml:space="preserve"> </w:t>
      </w:r>
      <w:r>
        <w:rPr>
          <w:rFonts w:ascii="Garamond" w:hAnsi="Garamond"/>
          <w:sz w:val="24"/>
          <w:szCs w:val="24"/>
          <w:rtl w:val="0"/>
          <w:lang w:val="it-IT"/>
        </w:rPr>
        <w:t xml:space="preserve">All Authors agree with </w:t>
      </w:r>
      <w:r>
        <w:rPr>
          <w:rFonts w:ascii="Garamond" w:hAnsi="Garamond"/>
          <w:sz w:val="24"/>
          <w:szCs w:val="24"/>
          <w:rtl w:val="0"/>
          <w:lang w:val="en-US"/>
        </w:rPr>
        <w:t>all the provided points referred to submissions (author guidelines)</w:t>
      </w:r>
      <w:r>
        <w:rPr>
          <w:rFonts w:ascii="Garamond" w:hAnsi="Garamond"/>
          <w:sz w:val="24"/>
          <w:szCs w:val="24"/>
          <w:rtl w:val="0"/>
          <w:lang w:val="it-IT"/>
        </w:rPr>
        <w:t>.</w:t>
      </w:r>
    </w:p>
    <w:p>
      <w:pPr>
        <w:pStyle w:val="Normal.0"/>
        <w:spacing w:line="360" w:lineRule="auto"/>
        <w:rPr>
          <w:rFonts w:ascii="Garamond" w:cs="Garamond" w:hAnsi="Garamond" w:eastAsia="Garamond"/>
          <w:b w:val="1"/>
          <w:bCs w:val="1"/>
          <w:sz w:val="24"/>
          <w:szCs w:val="24"/>
        </w:rPr>
      </w:pPr>
    </w:p>
    <w:p>
      <w:pPr>
        <w:pStyle w:val="Normal.0"/>
        <w:spacing w:line="360" w:lineRule="auto"/>
        <w:jc w:val="center"/>
        <w:rPr>
          <w:rFonts w:ascii="Garamond" w:cs="Garamond" w:hAnsi="Garamond" w:eastAsia="Garamond"/>
          <w:b w:val="1"/>
          <w:bCs w:val="1"/>
          <w:sz w:val="28"/>
          <w:szCs w:val="28"/>
        </w:rPr>
      </w:pPr>
      <w:r>
        <w:rPr>
          <w:rFonts w:ascii="Garamond" w:hAnsi="Garamond"/>
          <w:b w:val="1"/>
          <w:bCs w:val="1"/>
          <w:sz w:val="28"/>
          <w:szCs w:val="28"/>
          <w:rtl w:val="0"/>
          <w:lang w:val="en-US"/>
        </w:rPr>
        <w:t xml:space="preserve">Manuscript section </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spacing w:after="0" w:line="360" w:lineRule="auto"/>
        <w:jc w:val="both"/>
        <w:rPr>
          <w:rFonts w:ascii="Garamond" w:cs="Garamond" w:hAnsi="Garamond" w:eastAsia="Garamond"/>
          <w:b w:val="1"/>
          <w:bCs w:val="1"/>
          <w:sz w:val="24"/>
          <w:szCs w:val="24"/>
          <w:lang w:val="en-US"/>
          <w14:textOutline w14:w="12700" w14:cap="flat">
            <w14:noFill/>
            <w14:miter w14:lim="400000"/>
          </w14:textOutline>
        </w:rPr>
      </w:pPr>
      <w:r>
        <w:rPr>
          <w:rFonts w:ascii="Garamond" w:hAnsi="Garamond"/>
          <w:b w:val="1"/>
          <w:bCs w:val="1"/>
          <w:sz w:val="24"/>
          <w:szCs w:val="24"/>
          <w:rtl w:val="0"/>
          <w:lang w:val="en-US"/>
          <w14:textOutline w14:w="12700" w14:cap="flat">
            <w14:noFill/>
            <w14:miter w14:lim="400000"/>
          </w14:textOutline>
        </w:rPr>
        <w:t>Introduction</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132"/>
        </w:tabs>
        <w:spacing w:after="0" w:line="360" w:lineRule="auto"/>
        <w:jc w:val="both"/>
        <w:rPr>
          <w:rFonts w:ascii="Garamond" w:cs="Garamond" w:hAnsi="Garamond" w:eastAsia="Garamond"/>
          <w:b w:val="1"/>
          <w:bCs w:val="1"/>
          <w:sz w:val="24"/>
          <w:szCs w:val="24"/>
          <w:u w:val="single"/>
          <w:lang w:val="en-US"/>
          <w14:textOutline w14:w="12700" w14:cap="flat">
            <w14:noFill/>
            <w14:miter w14:lim="400000"/>
          </w14:textOutline>
        </w:rPr>
      </w:pP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In recent years, the Covid-19 pandemic has generated numerous changes to how people live their daily lives due to isolation, social distancing, death of loved ones, distance from family, loss, reduction of work activities, etc. One or more of these factors could have affected each person, which has an effect their response to stress being more or less accentuated depending on individual characteristics. Several studies have already highlighted the impact of Covid-19 on people's mental health, revealing an increase in symptoms of anxiety, depression, somatization, feelings of loneliness and isolation as well as a decrease in life satisfaction.</w:t>
      </w:r>
    </w:p>
    <w:p>
      <w:pPr>
        <w:pStyle w:val="Normal.0"/>
        <w:spacing w:after="0" w:line="360" w:lineRule="auto"/>
        <w:jc w:val="both"/>
        <w:rPr>
          <w:rFonts w:ascii="Garamond" w:cs="Garamond" w:hAnsi="Garamond" w:eastAsia="Garamond"/>
          <w:b w:val="1"/>
          <w:bCs w:val="1"/>
          <w:sz w:val="24"/>
          <w:szCs w:val="24"/>
          <w:u w:val="single"/>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According to a systematic review looking at the impact of the pandemic on people's mental well-being, levels of psychological distress have increased considerably around the world (Cavalera, 2020; Lima et al., 2020; Rajkumar, 2020; Rossi et al., 2020; Becerra-Garc</w:t>
      </w:r>
      <w:r>
        <w:rPr>
          <w:rFonts w:ascii="Garamond" w:hAnsi="Garamond" w:hint="default"/>
          <w:sz w:val="24"/>
          <w:szCs w:val="24"/>
          <w:rtl w:val="0"/>
          <w:lang w:val="en-US"/>
          <w14:textOutline w14:w="12700" w14:cap="flat">
            <w14:noFill/>
            <w14:miter w14:lim="400000"/>
          </w14:textOutline>
        </w:rPr>
        <w:t>í</w:t>
      </w:r>
      <w:r>
        <w:rPr>
          <w:rFonts w:ascii="Garamond" w:hAnsi="Garamond"/>
          <w:sz w:val="24"/>
          <w:szCs w:val="24"/>
          <w:rtl w:val="0"/>
          <w:lang w:val="en-US"/>
          <w14:textOutline w14:w="12700" w14:cap="flat">
            <w14:noFill/>
            <w14:miter w14:lim="400000"/>
          </w14:textOutline>
        </w:rPr>
        <w:t xml:space="preserve">a et al., 2021; Bueno-Notivol, et al., 2021) and </w:t>
      </w:r>
      <w:r>
        <w:rPr>
          <w:rFonts w:ascii="Garamond" w:hAnsi="Garamond"/>
          <w:sz w:val="24"/>
          <w:szCs w:val="24"/>
          <w:rtl w:val="0"/>
          <w:lang w:val="en-US"/>
        </w:rPr>
        <w:t>many people have experienced a negative impact on their mental state</w:t>
      </w:r>
      <w:r>
        <w:rPr>
          <w:rFonts w:ascii="Garamond" w:hAnsi="Garamond"/>
          <w:sz w:val="24"/>
          <w:szCs w:val="24"/>
          <w:rtl w:val="0"/>
          <w:lang w:val="en-US"/>
          <w14:textOutline w14:w="12700" w14:cap="flat">
            <w14:noFill/>
            <w14:miter w14:lim="400000"/>
          </w14:textOutline>
        </w:rPr>
        <w:t xml:space="preserve"> (Vahedian-Azimi et al., 2020; Bolatov et al., 2021). Furthermore, it appears that the prevalence of mental disorders has undergone a significant increase (Pierce et al., 2020; Winkler et al., 2020), possibly exacerbating pre-existing risk factors with individuals that were already vulnerable.</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One of the social groups that has been significantly affected by these changes found in daily life is students. There is already a good amount of research from the last ten years that analyzes the mental health of university students, including the increasing rates of psychological distress (Zivin et al., 2009; Auerbach et al., 2018). From Covid-19 there have also been several studies that extensively explored the impact of the pandemic on the lives of college students, highlighting a wide spread of different psychological symptoms, such as stress and difficulty in concentration (Son et al., 2020; Zurlo, Volta, &amp; Vallone, 2020; Balt</w:t>
      </w:r>
      <w:r>
        <w:rPr>
          <w:rFonts w:ascii="Garamond" w:hAnsi="Garamond" w:hint="default"/>
          <w:sz w:val="24"/>
          <w:szCs w:val="24"/>
          <w:rtl w:val="0"/>
          <w:lang w:val="en-US"/>
          <w14:textOutline w14:w="12700" w14:cap="flat">
            <w14:noFill/>
            <w14:miter w14:lim="400000"/>
          </w14:textOutline>
        </w:rPr>
        <w:t>à</w:t>
      </w:r>
      <w:r>
        <w:rPr>
          <w:rFonts w:ascii="Garamond" w:hAnsi="Garamond"/>
          <w:sz w:val="24"/>
          <w:szCs w:val="24"/>
          <w:rtl w:val="0"/>
          <w:lang w:val="en-US"/>
          <w14:textOutline w14:w="12700" w14:cap="flat">
            <w14:noFill/>
            <w14:miter w14:lim="400000"/>
          </w14:textOutline>
        </w:rPr>
        <w:t>-Salvador et al., 2021; Lardone et al., 2021; Somma et al., 2021), anxiety and depression (Cao et al., 2020; Husky, Kovess-Masfety, and Swendsen, 2020; Galvin et al., 2021; Rusch et al., 2021), eating disorders, alcohol/substance abuse (Gritsenko et al., 2020; Browning et al., 2021; Charles et al., 2021), sleep disorders (Debowska et al., 2020), and even suicidal behaviors (Xu et al., 2021).</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Regardless of the challenges posed by the pandemic, admission into university already is a critical period for students because there are more complex demands on the academic and social level. Specific skills are strongly solicited when going to university, such as adaptation and independence, especially for those students living away from home (Sussman &amp; Arnett, 2014; Saleh, Camart, &amp; Romo, 2017). Hence, in addition to these already added demands, the pandemic increased changing aspects in the community such as fear linked to the risk of contagion (Rodr</w:t>
      </w:r>
      <w:r>
        <w:rPr>
          <w:rFonts w:ascii="Garamond" w:hAnsi="Garamond" w:hint="default"/>
          <w:sz w:val="24"/>
          <w:szCs w:val="24"/>
          <w:rtl w:val="0"/>
          <w:lang w:val="en-US"/>
          <w14:textOutline w14:w="12700" w14:cap="flat">
            <w14:noFill/>
            <w14:miter w14:lim="400000"/>
          </w14:textOutline>
        </w:rPr>
        <w:t>í</w:t>
      </w:r>
      <w:r>
        <w:rPr>
          <w:rFonts w:ascii="Garamond" w:hAnsi="Garamond"/>
          <w:sz w:val="24"/>
          <w:szCs w:val="24"/>
          <w:rtl w:val="0"/>
          <w:lang w:val="en-US"/>
          <w14:textOutline w14:w="12700" w14:cap="flat">
            <w14:noFill/>
            <w14:miter w14:lim="400000"/>
          </w14:textOutline>
        </w:rPr>
        <w:t xml:space="preserve">guez-Hidalgo et al., 2020; Yang, Chen, &amp; Chen, 2021), social isolation (Filho et al., 2021), and massive use of technological devices for educational purposes. Furthermore, several authors have pointed out how the long hours on home screens in shared and inappropriate spaces, the unavailability of technological devices, and the difficulty in "disconnecting" from the virtual world (Aguilera-Hermida, 2020; Islam et al., 2020; Kiraly et al., 2020; Papouli, Chatzifotiou, &amp; Tsairidis, 2020) increased levels of anxiety and depression among students (Galvin et al., 2021). </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 xml:space="preserve">However, there are discordant positions among researchers as well. For example, Bolatov et al. (2021) have seen how the transition from traditional learning (TL) to online learning (OL) has alleviated the symptoms attributable to burnouts, depression, anxiety, and somatization despite the fact that isolation has accentuated the burnouts and confirmed the need for sharing in stressful moments and the closeness it creates. In fact, </w:t>
      </w:r>
      <w:r>
        <w:rPr>
          <w:rFonts w:ascii="Garamond" w:hAnsi="Garamond"/>
          <w:kern w:val="24"/>
          <w:sz w:val="24"/>
          <w:szCs w:val="24"/>
          <w:rtl w:val="0"/>
          <w:lang w:val="en-US"/>
          <w14:textOutline w14:w="12700" w14:cap="flat">
            <w14:noFill/>
            <w14:miter w14:lim="400000"/>
          </w14:textOutline>
        </w:rPr>
        <w:t>some studies have carried out longitudinal investigations and illustrated that the levels of distress have gradually increased during the two years of the pandemic.</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Meda et al. (2020) and Bolatov et al. (2021) compared data collected in 2019 to data collected at the end of the first lockdown in the spring of 2020 and found that there was a significant increase in symptoms of depression, anxiety (Meda et al., 2020; Bolatov et al., 2021), obsessions and compulsions, eating disorders (Meda et al., 2020), burnouts, and somatizations (Bolatov et al., 2021). More recently, Zurlo, Cattaneo Della Volta, and Vallone (2022) confirmed a substantial difference in the scores of anxiety, phobias, obsessions, compulsions, and psychoticism investigated with the SCL-90-R in three post-Covid-19 measurements (from April 2020 to November 2020, and again at April 2021) compared to similar data collected in 2017.</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There is also research looking at the presence of risk factors and protective factors against the pandemic. For instance, Volken et al. (2021) noted that a protective factor against the stress generated by Covid-19 could be if a student is studying to be a health professional. For instance, there were significantly higher psychological symptoms in non-healthcare students compared to healthcare students. In addition to this, another study conducted in June 2020 showed that age has an effect on a student</w:t>
      </w:r>
      <w:r>
        <w:rPr>
          <w:rFonts w:ascii="Garamond" w:hAnsi="Garamond" w:hint="default"/>
          <w:kern w:val="24"/>
          <w:sz w:val="24"/>
          <w:szCs w:val="24"/>
          <w:rtl w:val="0"/>
          <w:lang w:val="en-US"/>
          <w14:textOutline w14:w="12700" w14:cap="flat">
            <w14:noFill/>
            <w14:miter w14:lim="400000"/>
          </w14:textOutline>
        </w:rPr>
        <w:t>’</w:t>
      </w:r>
      <w:r>
        <w:rPr>
          <w:rFonts w:ascii="Garamond" w:hAnsi="Garamond"/>
          <w:kern w:val="24"/>
          <w:sz w:val="24"/>
          <w:szCs w:val="24"/>
          <w:rtl w:val="0"/>
          <w:lang w:val="en-US"/>
          <w14:textOutline w14:w="12700" w14:cap="flat">
            <w14:noFill/>
            <w14:miter w14:lim="400000"/>
          </w14:textOutline>
        </w:rPr>
        <w:t>s management and manifestation of distress (Rainford et al., 2021). It was found that when comparing fourth-grade students to second and third grade students, the fourth graders illustrated fewer worries than their younger colleagues did.</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Additionally, other studies focused on the role of psychological factors in the onset of symptoms of anxiety and depression (Baiano et al., 2020). These researchers used the scores of tests administered during the pre-lockdown period (between 2019 and 2020) to explain the trend of psychological symptoms being detected in April 2020 with the same subjects. Dividing students into high worriers and low worriers using the Penn State Worry Questionnaire (PSWD) scores from the pre-lockdown period, the authors identified those subjects that suffered more during the period of lockdown. In other words, subjects predisposed to brooding and worry production, also defined as high worriers, reported significantly higher psychological symptoms than low worriers did during lockdown.</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Another interesting study is that of Biondi and colleagues (2021), in which they focused on the predictive power of personality traits on the modulation of symptoms that formed due to the pandemic. After administering the Personality Inventory (DSM-5-Brief Form), it was found that internalizing traits such as detachment, negative affect, and psychoticism are risk factors for the development of symptoms attributable to anxiety, depression, and stress and can even be considered predictors of the manifestation of psychological distress.</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Another interesting study to analyze the connection between Covid-19 and student</w:t>
      </w:r>
      <w:r>
        <w:rPr>
          <w:rFonts w:ascii="Garamond" w:hAnsi="Garamond" w:hint="default"/>
          <w:kern w:val="24"/>
          <w:sz w:val="24"/>
          <w:szCs w:val="24"/>
          <w:rtl w:val="0"/>
          <w:lang w:val="en-US"/>
          <w14:textOutline w14:w="12700" w14:cap="flat">
            <w14:noFill/>
            <w14:miter w14:lim="400000"/>
          </w14:textOutline>
        </w:rPr>
        <w:t>’</w:t>
      </w:r>
      <w:r>
        <w:rPr>
          <w:rFonts w:ascii="Garamond" w:hAnsi="Garamond"/>
          <w:kern w:val="24"/>
          <w:sz w:val="24"/>
          <w:szCs w:val="24"/>
          <w:rtl w:val="0"/>
          <w:lang w:val="en-US"/>
          <w14:textOutline w14:w="12700" w14:cap="flat">
            <w14:noFill/>
            <w14:miter w14:lim="400000"/>
          </w14:textOutline>
        </w:rPr>
        <w:t xml:space="preserve">s mental health was conducted in the spring of 2020 (just after the end of the lockdown). Meda et al. (2020) found an increase in psychological symptoms (especially in depression) in the whole sample examined, however, another important aspect emerged. By examining the psychological history of the participants, it emerged that the levels of distress of subjects with a negative anamnesis for previous mental disorders returned to pre-lockdown levels with the end of isolation. In other words, subjects with a positive history of mental disorders continued to show psychological suffering even after the end of the first lockdown. </w:t>
      </w:r>
    </w:p>
    <w:p>
      <w:pPr>
        <w:pStyle w:val="Normal.0"/>
        <w:spacing w:after="0" w:line="360" w:lineRule="auto"/>
        <w:jc w:val="both"/>
        <w:rPr>
          <w:rFonts w:ascii="Garamond" w:cs="Garamond" w:hAnsi="Garamond" w:eastAsia="Garamond"/>
          <w:kern w:val="24"/>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These kinds of studies highlight the predisposing factors to stress and confirm what has already been described in the literature regarding the predisposition to mental disorders and vulnerability to stress (Arias et al 2020). Established personality traits, such as emotional instability and neuroticism have been related to psychological symptoms because they predispose the individual to a greater reactivity to stress (</w:t>
      </w:r>
      <w:r>
        <w:rPr>
          <w:rFonts w:ascii="Garamond" w:hAnsi="Garamond"/>
          <w:kern w:val="24"/>
          <w:sz w:val="24"/>
          <w:szCs w:val="24"/>
          <w:rtl w:val="0"/>
          <w:lang w:val="en-US"/>
          <w14:shadow w14:sx="100000" w14:sy="100000" w14:kx="0" w14:ky="0" w14:algn="tl" w14:blurRad="0" w14:dist="0" w14:dir="2700000">
            <w14:srgbClr w14:val="000000">
              <w14:alpha w14:val="100000"/>
            </w14:srgbClr>
          </w14:shadow>
          <w14:textOutline w14:w="12700" w14:cap="flat">
            <w14:noFill/>
            <w14:miter w14:lim="400000"/>
          </w14:textOutline>
        </w:rPr>
        <w:t>Ormel, Riese &amp; Rosmalen, 2012; Arias et al., 2020</w:t>
      </w:r>
      <w:r>
        <w:rPr>
          <w:rFonts w:ascii="Garamond" w:hAnsi="Garamond"/>
          <w:kern w:val="24"/>
          <w:sz w:val="24"/>
          <w:szCs w:val="24"/>
          <w:rtl w:val="0"/>
          <w:lang w:val="en-US"/>
          <w14:textOutline w14:w="12700" w14:cap="flat">
            <w14:noFill/>
            <w14:miter w14:lim="400000"/>
          </w14:textOutline>
        </w:rPr>
        <w:t>). More specifically, the underlying mechanisms to stress are having a greater hyper activation of the HPA axis (Birmaher et al., 1996; Dahl et al., 2000; Herane-Vives et al., 2018) and a genetic predisposition (Caspi et al., 2003, 2010) exacerbated by stressful life events. In fact, it is supposed that a particular period can provide the necessary stressors to aggravate conditions at risk for the development of mental disorders. It is even possible that the environment provides threatening stimuli that cause hyper activation of the HPA axis, which is one of the psychobiological predictive indices of anxiety and depression (</w:t>
      </w:r>
      <w:r>
        <w:rPr>
          <w:rFonts w:ascii="Garamond" w:hAnsi="Garamond"/>
          <w:sz w:val="24"/>
          <w:szCs w:val="24"/>
          <w:rtl w:val="0"/>
          <w:lang w:val="en-US"/>
          <w14:shadow w14:sx="100000" w14:sy="100000" w14:kx="0" w14:ky="0" w14:algn="tl" w14:blurRad="0" w14:dist="0" w14:dir="2700000">
            <w14:srgbClr w14:val="000000">
              <w14:alpha w14:val="100000"/>
            </w14:srgbClr>
          </w14:shadow>
        </w:rPr>
        <w:t>Masi et al., 2001; Pruneti et al., 2001, 2010, 2011, 2022; Cosentino et al., 2018; De Vincenzo et al., 2022</w:t>
      </w:r>
      <w:r>
        <w:rPr>
          <w:rFonts w:ascii="Garamond" w:hAnsi="Garamond"/>
          <w:kern w:val="24"/>
          <w:sz w:val="24"/>
          <w:szCs w:val="24"/>
          <w:rtl w:val="0"/>
          <w:lang w:val="en-US"/>
          <w14:shadow w14:sx="100000" w14:sy="100000" w14:kx="0" w14:ky="0" w14:algn="tl" w14:blurRad="0" w14:dist="0" w14:dir="2700000">
            <w14:srgbClr w14:val="000000">
              <w14:alpha w14:val="100000"/>
            </w14:srgbClr>
          </w14:shadow>
          <w14:textOutline w14:w="12700" w14:cap="flat">
            <w14:noFill/>
            <w14:miter w14:lim="400000"/>
          </w14:textOutline>
        </w:rPr>
        <w:t>)</w:t>
      </w:r>
      <w:r>
        <w:rPr>
          <w:rFonts w:ascii="Garamond" w:hAnsi="Garamond"/>
          <w:kern w:val="24"/>
          <w:sz w:val="24"/>
          <w:szCs w:val="24"/>
          <w:rtl w:val="0"/>
          <w:lang w:val="en-US"/>
          <w14:textOutline w14:w="12700" w14:cap="flat">
            <w14:noFill/>
            <w14:miter w14:lim="400000"/>
          </w14:textOutline>
        </w:rPr>
        <w:t xml:space="preserve">. </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kern w:val="24"/>
          <w:sz w:val="24"/>
          <w:szCs w:val="24"/>
          <w:rtl w:val="0"/>
          <w:lang w:val="en-US"/>
          <w14:textOutline w14:w="12700" w14:cap="flat">
            <w14:noFill/>
            <w14:miter w14:lim="400000"/>
          </w14:textOutline>
        </w:rPr>
        <w:t>Considering the pandemic period, each phase has made changes to people's daily lives and required adaptation to them.</w:t>
      </w:r>
      <w:r>
        <w:rPr>
          <w:rFonts w:ascii="Garamond" w:hAnsi="Garamond"/>
          <w:sz w:val="24"/>
          <w:szCs w:val="24"/>
          <w:rtl w:val="0"/>
          <w:lang w:val="en-US"/>
          <w14:textOutline w14:w="12700" w14:cap="flat">
            <w14:noFill/>
            <w14:miter w14:lim="400000"/>
          </w14:textOutline>
        </w:rPr>
        <w:t xml:space="preserve"> For instance, even though safety protocols are gradually loosening up and we are moving towards normalcy, the restoration of old habits that have been pending for about two years, such as attending classes face-to-face, can also elicit emotional and psychophysiological arousal. Italy</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s universities are an example since students</w:t>
      </w:r>
      <w:r>
        <w:rPr>
          <w:rFonts w:ascii="Garamond" w:hAnsi="Garamond" w:hint="default"/>
          <w:sz w:val="24"/>
          <w:szCs w:val="24"/>
          <w:rtl w:val="0"/>
          <w:lang w:val="en-US"/>
          <w14:textOutline w14:w="12700" w14:cap="flat">
            <w14:noFill/>
            <w14:miter w14:lim="400000"/>
          </w14:textOutline>
        </w:rPr>
        <w:t xml:space="preserve">’ </w:t>
      </w:r>
      <w:r>
        <w:rPr>
          <w:rFonts w:ascii="Garamond" w:hAnsi="Garamond"/>
          <w:sz w:val="24"/>
          <w:szCs w:val="24"/>
          <w:rtl w:val="0"/>
          <w:lang w:val="en-US"/>
          <w14:textOutline w14:w="12700" w14:cap="flat">
            <w14:noFill/>
            <w14:miter w14:lim="400000"/>
          </w14:textOutline>
        </w:rPr>
        <w:t>courses are again being delivered in the traditional in-person way since April 2022.</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Because the world is now entering into a new phase of the pandemic which is seen as a gradual approach to normality, the aim of the current study is to describe the stress levels (in terms of psychological symptoms) of university students in this new phase. In addition, the authors want to highlight the possible influence of specific stable personality traits on the manifestation of psychological distress. This could be very useful in order to delineate a category of vulnerable people and propose possibly preventive interventions for a better stress management.</w:t>
      </w:r>
    </w:p>
    <w:p>
      <w:pPr>
        <w:pStyle w:val="Normal.0"/>
        <w:spacing w:after="0" w:line="360" w:lineRule="auto"/>
        <w:jc w:val="both"/>
        <w:rPr>
          <w:rFonts w:ascii="Garamond" w:cs="Garamond" w:hAnsi="Garamond" w:eastAsia="Garamond"/>
          <w:sz w:val="24"/>
          <w:szCs w:val="24"/>
          <w:lang w:val="en-US"/>
        </w:rPr>
      </w:pPr>
    </w:p>
    <w:p>
      <w:pPr>
        <w:pStyle w:val="Normal.0"/>
        <w:spacing w:after="0" w:line="360" w:lineRule="auto"/>
        <w:jc w:val="both"/>
        <w:rPr>
          <w:rFonts w:ascii="Garamond" w:cs="Garamond" w:hAnsi="Garamond" w:eastAsia="Garamond"/>
          <w:b w:val="1"/>
          <w:bCs w:val="1"/>
          <w:sz w:val="24"/>
          <w:szCs w:val="24"/>
          <w:lang w:val="en-US"/>
          <w14:textOutline w14:w="12700" w14:cap="flat">
            <w14:noFill/>
            <w14:miter w14:lim="400000"/>
          </w14:textOutline>
        </w:rPr>
      </w:pPr>
      <w:r>
        <w:rPr>
          <w:rFonts w:ascii="Garamond" w:hAnsi="Garamond"/>
          <w:b w:val="1"/>
          <w:bCs w:val="1"/>
          <w:sz w:val="24"/>
          <w:szCs w:val="24"/>
          <w:rtl w:val="0"/>
          <w:lang w:val="en-US"/>
          <w14:textOutline w14:w="12700" w14:cap="flat">
            <w14:noFill/>
            <w14:miter w14:lim="400000"/>
          </w14:textOutline>
        </w:rPr>
        <w:t>M</w:t>
      </w:r>
      <w:r>
        <w:rPr>
          <w:rFonts w:ascii="Garamond" w:hAnsi="Garamond"/>
          <w:b w:val="1"/>
          <w:bCs w:val="1"/>
          <w:sz w:val="24"/>
          <w:szCs w:val="24"/>
          <w:rtl w:val="0"/>
          <w:lang w:val="it-IT"/>
          <w14:textOutline w14:w="12700" w14:cap="flat">
            <w14:noFill/>
            <w14:miter w14:lim="400000"/>
          </w14:textOutline>
        </w:rPr>
        <w:t>aterials and m</w:t>
      </w:r>
      <w:r>
        <w:rPr>
          <w:rFonts w:ascii="Garamond" w:hAnsi="Garamond"/>
          <w:b w:val="1"/>
          <w:bCs w:val="1"/>
          <w:sz w:val="24"/>
          <w:szCs w:val="24"/>
          <w:rtl w:val="0"/>
          <w:lang w:val="en-US"/>
          <w14:textOutline w14:w="12700" w14:cap="flat">
            <w14:noFill/>
            <w14:miter w14:lim="400000"/>
          </w14:textOutline>
        </w:rPr>
        <w:t>ethods</w:t>
      </w:r>
    </w:p>
    <w:p>
      <w:pPr>
        <w:pStyle w:val="Normal.0"/>
        <w:spacing w:after="0" w:line="360" w:lineRule="auto"/>
        <w:jc w:val="both"/>
        <w:rPr>
          <w:rFonts w:ascii="Garamond" w:cs="Garamond" w:hAnsi="Garamond" w:eastAsia="Garamond"/>
          <w:b w:val="1"/>
          <w:bCs w:val="1"/>
          <w:sz w:val="24"/>
          <w:szCs w:val="24"/>
          <w:u w:val="single"/>
          <w:lang w:val="en-US"/>
          <w14:textOutline w14:w="12700" w14:cap="flat">
            <w14:noFill/>
            <w14:miter w14:lim="400000"/>
          </w14:textOutline>
        </w:rPr>
      </w:pPr>
    </w:p>
    <w:p>
      <w:pPr>
        <w:pStyle w:val="Normal.0"/>
        <w:spacing w:after="0" w:line="360" w:lineRule="auto"/>
        <w:jc w:val="both"/>
        <w:rPr>
          <w:rFonts w:ascii="Garamond" w:cs="Garamond" w:hAnsi="Garamond" w:eastAsia="Garamond"/>
          <w:b w:val="1"/>
          <w:bCs w:val="1"/>
          <w:sz w:val="24"/>
          <w:szCs w:val="24"/>
          <w:shd w:val="clear" w:color="auto" w:fill="ffffff"/>
          <w:lang w:val="en-US"/>
          <w14:textOutline w14:w="12700" w14:cap="flat">
            <w14:noFill/>
            <w14:miter w14:lim="400000"/>
          </w14:textOutline>
        </w:rPr>
      </w:pPr>
      <w:r>
        <w:rPr>
          <w:rFonts w:ascii="Garamond" w:hAnsi="Garamond"/>
          <w:i w:val="1"/>
          <w:iCs w:val="1"/>
          <w:sz w:val="24"/>
          <w:szCs w:val="24"/>
          <w:shd w:val="clear" w:color="auto" w:fill="ffffff"/>
          <w:rtl w:val="0"/>
          <w:lang w:val="en-US"/>
          <w14:textOutline w14:w="12700" w14:cap="flat">
            <w14:noFill/>
            <w14:miter w14:lim="400000"/>
          </w14:textOutline>
        </w:rPr>
        <w:t>Sample</w:t>
      </w:r>
      <w:r>
        <w:rPr>
          <w:rFonts w:ascii="Garamond" w:hAnsi="Garamond"/>
          <w:b w:val="1"/>
          <w:bCs w:val="1"/>
          <w:sz w:val="24"/>
          <w:szCs w:val="24"/>
          <w:shd w:val="clear" w:color="auto" w:fill="ffffff"/>
          <w:rtl w:val="0"/>
          <w:lang w:val="en-US"/>
          <w14:textOutline w14:w="12700" w14:cap="flat">
            <w14:noFill/>
            <w14:miter w14:lim="400000"/>
          </w14:textOutline>
        </w:rPr>
        <w:t xml:space="preserve"> </w:t>
      </w:r>
    </w:p>
    <w:p>
      <w:pPr>
        <w:pStyle w:val="Normal.0"/>
        <w:spacing w:after="0" w:line="360" w:lineRule="auto"/>
        <w:jc w:val="both"/>
        <w:rPr>
          <w:rFonts w:ascii="Garamond" w:cs="Garamond" w:hAnsi="Garamond" w:eastAsia="Garamond"/>
          <w:sz w:val="24"/>
          <w:szCs w:val="24"/>
          <w:shd w:val="clear" w:color="auto" w:fill="ffffff"/>
          <w:lang w:val="en-US"/>
          <w14:textOutline w14:w="12700" w14:cap="flat">
            <w14:noFill/>
            <w14:miter w14:lim="400000"/>
          </w14:textOutline>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1"/>
        <w:bidi w:val="0"/>
        <w:spacing w:before="0" w:after="0" w:line="360" w:lineRule="auto"/>
        <w:ind w:left="0" w:right="0" w:firstLine="0"/>
        <w:jc w:val="both"/>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An exploratory and cross-sectional study design was performed to assess the actual psychological status of the students at the University of Parma in Parma, Italy. Approval from the Institutional Review Board (IRB) at the University of Parma was obtained. All the data have been performed in accordance with the ethical standards laid down in the 1964 Declaration of Helsinki. Patient</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anonymity was preserved, and the obtained data were used exclusively for scientific purposes.</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 sample of 120 students (98 females and 22 males), aged between 19 and 62 years old (only one student was 62), were consecutively recruited. The mean age of participants was 23.6 years (</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 xml:space="preserve">6.6). Majority of the subjects were full time students (94.2) with a small section being part-time students that hold a job as well (5.8%). </w:t>
      </w:r>
      <w:r>
        <w:rPr>
          <w:rFonts w:ascii="Garamond" w:hAnsi="Garamond"/>
          <w:sz w:val="24"/>
          <w:szCs w:val="24"/>
          <w:shd w:val="clear" w:color="auto" w:fill="ffffff"/>
          <w:rtl w:val="0"/>
          <w:lang w:val="en-US"/>
          <w14:textOutline w14:w="12700" w14:cap="flat">
            <w14:noFill/>
            <w14:miter w14:lim="400000"/>
          </w14:textOutline>
        </w:rPr>
        <w:t>Criteria for inclusion in the study were age&gt;18 years; completion of informed consent; and no history of psychiatric and/or neurological syndromes (e.g. previous head trauma, epilepsy, etc.).</w:t>
      </w: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1"/>
        <w:bidi w:val="0"/>
        <w:spacing w:before="0" w:after="0" w:line="360" w:lineRule="auto"/>
        <w:ind w:left="0" w:right="0" w:firstLine="0"/>
        <w:jc w:val="both"/>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subjects were recruited through e-mail contact, and they were offered a link to book an appointment in the lab via the Outlook calendar. For this reason, the sample is made up of students of various majors (medicine, psychology, educational sciences, communication, law, economics, nursing, biology, information, etc.). Academic year distribution among students was 1 year (30%), 2 year (10.08%), 3 year (15.8%), 4 year (15%), 5 year (20%), and 6 year of study (0.8%). A PhD Student of Clinical Psychology and two Undergraduate Psychology Students collected data between April and July 2022. This time was characterized by total resumption of in-person classes; hence, the appointments for the study were also in-person. Before administering the tests, the researchers provided information about the purpose of the study. An idea of the purpose of the psychotest administered was offered without specification of the single scale test . Once the subjects completed the tests, they were offered the option to book another appointment via Outlook calendar to receive a description of their results during a psychological interview that would be kept confidential.</w:t>
      </w: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val="1"/>
        <w:bidi w:val="0"/>
        <w:spacing w:before="0" w:after="0" w:line="360" w:lineRule="auto"/>
        <w:ind w:left="0" w:right="0" w:firstLine="0"/>
        <w:jc w:val="both"/>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Furthermore, a comparative analysis on psychological symptoms has been conducted using data collected in 2019 (pre-pandemic period) from a group (n=78) of voluntary students from the University of Parma. From the survey conducted in 2019, raised in the context of a wider research project, only the SQ scores were used for the actual purposes. For both the studies, participation in the research was voluntary. The two samples matched for Gender (Women of the sample of 2019: n=65, 83.3%; Women of the sample of 2022: n=98, 81.7%) and Age (Mean age of the sample of 2019 = 31.05</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13.04; Mean age of the sample of 2022= 23.6</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6.6).</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p>
    <w:p>
      <w:pPr>
        <w:pStyle w:val="Normal.0"/>
        <w:spacing w:after="0" w:line="360" w:lineRule="auto"/>
        <w:jc w:val="both"/>
        <w:rPr>
          <w:rFonts w:ascii="Garamond" w:cs="Garamond" w:hAnsi="Garamond" w:eastAsia="Garamond"/>
          <w:i w:val="1"/>
          <w:iCs w:val="1"/>
          <w:sz w:val="24"/>
          <w:szCs w:val="24"/>
          <w:shd w:val="clear" w:color="auto" w:fill="ffffff"/>
          <w:lang w:val="en-US"/>
          <w14:textOutline w14:w="12700" w14:cap="flat">
            <w14:noFill/>
            <w14:miter w14:lim="400000"/>
          </w14:textOutline>
        </w:rPr>
      </w:pPr>
      <w:r>
        <w:rPr>
          <w:rFonts w:ascii="Garamond" w:hAnsi="Garamond"/>
          <w:i w:val="1"/>
          <w:iCs w:val="1"/>
          <w:sz w:val="24"/>
          <w:szCs w:val="24"/>
          <w:shd w:val="clear" w:color="auto" w:fill="ffffff"/>
          <w:rtl w:val="0"/>
          <w:lang w:val="en-US"/>
          <w14:textOutline w14:w="12700" w14:cap="flat">
            <w14:noFill/>
            <w14:miter w14:lim="400000"/>
          </w14:textOutline>
        </w:rPr>
        <w:t>Tools</w:t>
      </w:r>
    </w:p>
    <w:p>
      <w:pPr>
        <w:pStyle w:val="Normal.0"/>
        <w:spacing w:after="0" w:line="360" w:lineRule="auto"/>
        <w:jc w:val="both"/>
        <w:rPr>
          <w:rFonts w:ascii="Garamond" w:cs="Garamond" w:hAnsi="Garamond" w:eastAsia="Garamond"/>
          <w:i w:val="1"/>
          <w:iCs w:val="1"/>
          <w:sz w:val="24"/>
          <w:szCs w:val="24"/>
          <w:shd w:val="clear" w:color="auto" w:fill="ffffff"/>
          <w:lang w:val="en-US"/>
          <w14:textOutline w14:w="12700" w14:cap="flat">
            <w14:noFill/>
            <w14:miter w14:lim="400000"/>
          </w14:textOutline>
        </w:rPr>
      </w:pPr>
    </w:p>
    <w:p>
      <w:pPr>
        <w:pStyle w:val="Normal.0"/>
        <w:spacing w:after="0" w:line="360" w:lineRule="auto"/>
        <w:jc w:val="both"/>
        <w:rPr>
          <w:rFonts w:ascii="Garamond" w:cs="Garamond" w:hAnsi="Garamond" w:eastAsia="Garamond"/>
          <w:sz w:val="24"/>
          <w:szCs w:val="24"/>
          <w:shd w:val="clear" w:color="auto" w:fill="ffffff"/>
          <w:lang w:val="en-US"/>
          <w14:textOutline w14:w="12700" w14:cap="flat">
            <w14:noFill/>
            <w14:miter w14:lim="400000"/>
          </w14:textOutline>
        </w:rPr>
      </w:pPr>
      <w:r>
        <w:rPr>
          <w:rFonts w:ascii="Garamond" w:hAnsi="Garamond"/>
          <w:sz w:val="24"/>
          <w:szCs w:val="24"/>
          <w:shd w:val="clear" w:color="auto" w:fill="ffffff"/>
          <w:rtl w:val="0"/>
          <w:lang w:val="en-US"/>
          <w14:textOutline w14:w="12700" w14:cap="flat">
            <w14:noFill/>
            <w14:miter w14:lim="400000"/>
          </w14:textOutline>
        </w:rPr>
        <w:t xml:space="preserve">The Symptom Questionnaire (SQ; </w:t>
      </w:r>
      <w:r>
        <w:rPr>
          <w:rFonts w:ascii="Garamond" w:hAnsi="Garamond"/>
          <w:sz w:val="24"/>
          <w:szCs w:val="24"/>
          <w:rtl w:val="0"/>
          <w:lang w:val="en-US"/>
          <w14:shadow w14:sx="100000" w14:sy="100000" w14:kx="0" w14:ky="0" w14:algn="tl" w14:blurRad="0" w14:dist="0" w14:dir="2700000">
            <w14:srgbClr w14:val="000000">
              <w14:alpha w14:val="100000"/>
            </w14:srgbClr>
          </w14:shadow>
          <w14:textOutline w14:w="12700" w14:cap="flat">
            <w14:noFill/>
            <w14:miter w14:lim="400000"/>
          </w14:textOutline>
        </w:rPr>
        <w:t>Kellner, 1976; Fava et al., 1983</w:t>
      </w:r>
      <w:r>
        <w:rPr>
          <w:rFonts w:ascii="Garamond" w:hAnsi="Garamond"/>
          <w:sz w:val="24"/>
          <w:szCs w:val="24"/>
          <w:shd w:val="clear" w:color="auto" w:fill="ffffff"/>
          <w:rtl w:val="0"/>
          <w:lang w:val="en-US"/>
          <w14:textOutline w14:w="12700" w14:cap="flat">
            <w14:noFill/>
            <w14:miter w14:lim="400000"/>
          </w14:textOutline>
        </w:rPr>
        <w:t xml:space="preserve">) is a self-assessment questionnaire that investigates the state of well-being/distress perceived by the subject during a specific period. It contains four scales based on the factorial analysis of psychological symptoms such as Anxiety (A), Depression (D), Somatic Complaints (SS), and Hostility (H). This test evaluates both the presence of specific symptoms and more cognitive aspects such as the ability in relaxing, feeling pleasure, and having a good disposition towards others. This test has a weekly, daily, and hourly version, and the students were administered the weekly version. </w:t>
      </w:r>
    </w:p>
    <w:p>
      <w:pPr>
        <w:pStyle w:val="Normal.0"/>
        <w:spacing w:after="0" w:line="360" w:lineRule="auto"/>
        <w:jc w:val="both"/>
        <w:rPr>
          <w:rFonts w:ascii="Garamond" w:cs="Garamond" w:hAnsi="Garamond" w:eastAsia="Garamond"/>
          <w:sz w:val="24"/>
          <w:szCs w:val="24"/>
          <w:shd w:val="clear" w:color="auto" w:fill="ffffff"/>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The P Stress Questionnaire (PSQ; Pruneti, 2011)</w:t>
      </w:r>
      <w:r>
        <w:rPr>
          <w:rFonts w:ascii="Garamond" w:hAnsi="Garamond"/>
          <w:sz w:val="24"/>
          <w:szCs w:val="24"/>
          <w:vertAlign w:val="superscript"/>
          <w:rtl w:val="0"/>
          <w:lang w:val="en-US"/>
          <w14:textOutline w14:w="12700" w14:cap="flat">
            <w14:noFill/>
            <w14:miter w14:lim="400000"/>
          </w14:textOutline>
        </w:rPr>
        <w:t xml:space="preserve"> </w:t>
      </w:r>
      <w:r>
        <w:rPr>
          <w:rFonts w:ascii="Garamond" w:hAnsi="Garamond"/>
          <w:sz w:val="24"/>
          <w:szCs w:val="24"/>
          <w:rtl w:val="0"/>
          <w:lang w:val="en-US"/>
          <w14:textOutline w14:w="12700" w14:cap="flat">
            <w14:noFill/>
            <w14:miter w14:lim="400000"/>
          </w14:textOutline>
        </w:rPr>
        <w:t xml:space="preserve">is a tool made up of 32 items, grouped into six scales: Sense of Responsibility, Vigor, Stress Disorders, Precision and Punctuality, Spare Time, and Hyperactivity. It detects if there is a present risk for stress-related physical disorders attributable to some characteristics of the personality configuration known as </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Type A</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 The stanine scores have a distribution between 1 and 9, with a mean of 5 and a standard deviation of 1.96.</w:t>
      </w:r>
      <w:r>
        <w:rPr>
          <w:rFonts w:ascii="Garamond" w:cs="Garamond" w:hAnsi="Garamond" w:eastAsia="Garamond"/>
          <w:sz w:val="24"/>
          <w:szCs w:val="24"/>
          <w:shd w:val="clear" w:color="auto" w:fill="ffffff"/>
          <w:lang w:val="en-US"/>
          <w14:textOutline w14:w="12700" w14:cap="flat">
            <w14:noFill/>
            <w14:miter w14:lim="400000"/>
          </w14:textOutline>
        </w:rPr>
        <w:br w:type="textWrapping"/>
      </w:r>
      <w:r>
        <w:rPr>
          <w:rFonts w:ascii="Garamond" w:hAnsi="Garamond"/>
          <w:sz w:val="24"/>
          <w:szCs w:val="24"/>
          <w:shd w:val="clear" w:color="auto" w:fill="ffffff"/>
          <w:rtl w:val="0"/>
          <w:lang w:val="en-US"/>
          <w14:textOutline w14:w="12700" w14:cap="flat">
            <w14:noFill/>
            <w14:miter w14:lim="400000"/>
          </w14:textOutline>
        </w:rPr>
        <w:t xml:space="preserve">The Sixteen Personality Factor Questionnaire (16PF-5; </w:t>
      </w:r>
      <w:r>
        <w:rPr>
          <w:rFonts w:ascii="Garamond" w:hAnsi="Garamond"/>
          <w:sz w:val="24"/>
          <w:szCs w:val="24"/>
          <w:rtl w:val="0"/>
          <w:lang w:val="en-US"/>
          <w14:shadow w14:sx="100000" w14:sy="100000" w14:kx="0" w14:ky="0" w14:algn="tl" w14:blurRad="0" w14:dist="0" w14:dir="2700000">
            <w14:srgbClr w14:val="000000">
              <w14:alpha w14:val="100000"/>
            </w14:srgbClr>
          </w14:shadow>
          <w14:textOutline w14:w="12700" w14:cap="flat">
            <w14:noFill/>
            <w14:miter w14:lim="400000"/>
          </w14:textOutline>
        </w:rPr>
        <w:t>Sirigatti &amp; Stefanile, 2011</w:t>
      </w:r>
      <w:r>
        <w:rPr>
          <w:rFonts w:ascii="Garamond" w:hAnsi="Garamond"/>
          <w:sz w:val="24"/>
          <w:szCs w:val="24"/>
          <w:shd w:val="clear" w:color="auto" w:fill="ffffff"/>
          <w:rtl w:val="0"/>
          <w:lang w:val="en-US"/>
          <w14:textOutline w14:w="12700" w14:cap="flat">
            <w14:noFill/>
            <w14:miter w14:lim="400000"/>
          </w14:textOutline>
        </w:rPr>
        <w:t>) is composed of 185 items, with three possible responses that identifies 16 primary, bipolar, and relatively independent factors. The 16 dimensions identified are A=Expansiveness; B=Reasoning; C=Emotional stability; E=Dominance; F=Vivacity; G=Conscientiousness; H=Social audacity; I=Sensitivity; L=Vigilance; M=Abstractness; N=Prudence; O=Apprehensiveness; Q1=Openness to change; Q2=Self-confidence; Q3=Perfectionism; Q4=Tension. In addition to these primary factors, which constitute the fundamental traits of personality, the test provides a validity scale. Imagine Management (IM) is a scale of social desirability where high scores reflect socially desirable responses, and low scores indicate willingness to admit undesirable attitudes.</w:t>
      </w:r>
    </w:p>
    <w:p>
      <w:pPr>
        <w:pStyle w:val="Normal.0"/>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shd w:val="clear" w:color="auto" w:fill="ffffff"/>
          <w:rtl w:val="0"/>
          <w:lang w:val="en-US"/>
          <w14:textOutline w14:w="12700" w14:cap="flat">
            <w14:noFill/>
            <w14:miter w14:lim="400000"/>
          </w14:textOutline>
        </w:rPr>
        <w:t>The SQ was administered both in 2019 and in 2022, while PSQ and 16-PF5 were collected only with the second group (2022). The aim of this work was to describe the level of distress (using SQ) in a group of voluntary Italian students at the University of Parma and to observe possible significant differences with a group of voluntary students involved in 2019. Furthermore, the purpose of the author was to highlight possible relations with stable personality traits (investigated with PSQ and 16-PF5) that could be considered as predisposing factors towards clinical-psychological disorders.</w:t>
      </w:r>
    </w:p>
    <w:p>
      <w:pPr>
        <w:pStyle w:val="Normal.0"/>
        <w:spacing w:after="0" w:line="360" w:lineRule="auto"/>
        <w:ind w:right="57"/>
        <w:jc w:val="both"/>
        <w:rPr>
          <w:rFonts w:ascii="Garamond" w:cs="Garamond" w:hAnsi="Garamond" w:eastAsia="Garamond"/>
          <w:sz w:val="24"/>
          <w:szCs w:val="24"/>
          <w:lang w:val="en-US"/>
        </w:rPr>
      </w:pPr>
    </w:p>
    <w:p>
      <w:pPr>
        <w:pStyle w:val="Normal.0"/>
        <w:spacing w:after="0" w:line="360" w:lineRule="auto"/>
        <w:ind w:right="57"/>
        <w:jc w:val="both"/>
        <w:rPr>
          <w:rFonts w:ascii="Garamond" w:cs="Garamond" w:hAnsi="Garamond" w:eastAsia="Garamond"/>
          <w:b w:val="1"/>
          <w:bCs w:val="1"/>
          <w:sz w:val="24"/>
          <w:szCs w:val="24"/>
          <w:u w:val="single"/>
          <w:lang w:val="en-US"/>
          <w14:textOutline w14:w="12700" w14:cap="flat">
            <w14:noFill/>
            <w14:miter w14:lim="400000"/>
          </w14:textOutline>
        </w:rPr>
      </w:pPr>
      <w:r>
        <w:rPr>
          <w:rFonts w:ascii="Garamond" w:hAnsi="Garamond"/>
          <w:b w:val="1"/>
          <w:bCs w:val="1"/>
          <w:sz w:val="24"/>
          <w:szCs w:val="24"/>
          <w:rtl w:val="0"/>
          <w:lang w:val="en-US"/>
          <w14:textOutline w14:w="12700" w14:cap="flat">
            <w14:noFill/>
            <w14:miter w14:lim="400000"/>
          </w14:textOutline>
        </w:rPr>
        <w:t>Results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b w:val="1"/>
          <w:bCs w:val="1"/>
          <w:sz w:val="24"/>
          <w:szCs w:val="24"/>
          <w:u w:val="single"/>
          <w14:textOutline w14:w="12700" w14:cap="flat">
            <w14:noFill/>
            <w14:miter w14:lim="400000"/>
          </w14:textOutline>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14:textOutline w14:w="12700" w14:cap="flat">
            <w14:noFill/>
            <w14:miter w14:lim="400000"/>
          </w14:textOutline>
        </w:rPr>
      </w:pPr>
      <w:r>
        <w:rPr>
          <w:rFonts w:ascii="Garamond" w:hAnsi="Garamond"/>
          <w:sz w:val="24"/>
          <w:szCs w:val="24"/>
          <w:rtl w:val="0"/>
          <w:lang w:val="en-US"/>
        </w:rPr>
        <w:t>Statistical analysis was performed using Microsoft Excel and IBM SPSS Statistics (</w:t>
      </w:r>
      <w:r>
        <w:rPr>
          <w:rFonts w:ascii="Garamond" w:hAnsi="Garamond"/>
          <w:sz w:val="24"/>
          <w:szCs w:val="24"/>
          <w:rtl w:val="0"/>
          <w:lang w:val="en-US"/>
          <w14:textOutline w14:w="12700" w14:cap="flat">
            <w14:noFill/>
            <w14:miter w14:lim="400000"/>
          </w14:textOutline>
        </w:rPr>
        <w:t>Version 28.0.1.0)</w:t>
      </w:r>
      <w:r>
        <w:rPr>
          <w:rFonts w:ascii="Garamond" w:hAnsi="Garamond"/>
          <w:sz w:val="24"/>
          <w:szCs w:val="24"/>
          <w:rtl w:val="0"/>
          <w:lang w:val="en-US"/>
        </w:rPr>
        <w:t xml:space="preserve">. Descriptive statistics </w:t>
      </w:r>
      <w:r>
        <w:rPr>
          <w:rFonts w:ascii="Garamond" w:hAnsi="Garamond"/>
          <w:outline w:val="0"/>
          <w:color w:val="202124"/>
          <w:sz w:val="24"/>
          <w:szCs w:val="24"/>
          <w:u w:color="202124"/>
          <w:rtl w:val="0"/>
          <w:lang w:val="en-US"/>
          <w14:textOutline w14:w="12700" w14:cap="flat">
            <w14:noFill/>
            <w14:miter w14:lim="400000"/>
          </w14:textOutline>
          <w14:textFill>
            <w14:solidFill>
              <w14:srgbClr w14:val="202124"/>
            </w14:solidFill>
          </w14:textFill>
        </w:rPr>
        <w:t xml:space="preserve">of the scores obtained from the total sample in the SQ, PSQ, and 16-PF5 of the 2022 sample </w:t>
      </w:r>
      <w:r>
        <w:rPr>
          <w:rFonts w:ascii="Garamond" w:hAnsi="Garamond"/>
          <w:sz w:val="24"/>
          <w:szCs w:val="24"/>
          <w:rtl w:val="0"/>
          <w:lang w:val="en-US"/>
        </w:rPr>
        <w:t xml:space="preserve">were performed with the calculation of the mean (M) and standard deviation (SD). </w:t>
      </w:r>
      <w:r>
        <w:rPr>
          <w:rFonts w:ascii="Garamond" w:hAnsi="Garamond"/>
          <w:sz w:val="24"/>
          <w:szCs w:val="24"/>
          <w:rtl w:val="0"/>
          <w:lang w:val="en-US"/>
          <w14:textOutline w14:w="12700" w14:cap="flat">
            <w14:noFill/>
            <w14:miter w14:lim="400000"/>
          </w14:textOutline>
        </w:rPr>
        <w:t xml:space="preserve">Tests for skewness, kurtosis, and Kolmogorov-Smirnov were used to determine normality of distribution. </w:t>
      </w:r>
      <w:r>
        <w:rPr>
          <w:rFonts w:ascii="Garamond" w:hAnsi="Garamond"/>
          <w:sz w:val="24"/>
          <w:szCs w:val="24"/>
          <w:rtl w:val="0"/>
          <w14:textOutline w14:w="12700" w14:cap="flat">
            <w14:noFill/>
            <w14:miter w14:lim="400000"/>
          </w14:textOutline>
        </w:rPr>
        <w:t xml:space="preserve">Furthermore, </w:t>
      </w:r>
      <w:r>
        <w:rPr>
          <w:rFonts w:ascii="Garamond" w:hAnsi="Garamond"/>
          <w:sz w:val="24"/>
          <w:szCs w:val="24"/>
          <w:rtl w:val="0"/>
        </w:rPr>
        <w:t>i</w:t>
      </w:r>
      <w:r>
        <w:rPr>
          <w:rFonts w:ascii="Garamond" w:hAnsi="Garamond"/>
          <w:sz w:val="24"/>
          <w:szCs w:val="24"/>
          <w:rtl w:val="0"/>
          <w:lang w:val="en-US"/>
        </w:rPr>
        <w:t xml:space="preserve">n a multicollinearity test, no extreme coefficient values </w:t>
      </w:r>
      <w:r>
        <w:rPr>
          <w:rFonts w:ascii="Arial Unicode MS" w:cs="Arial Unicode MS" w:hAnsi="Arial Unicode MS" w:eastAsia="Arial Unicode MS" w:hint="default"/>
          <w:b w:val="0"/>
          <w:bCs w:val="0"/>
          <w:i w:val="0"/>
          <w:iCs w:val="0"/>
          <w:sz w:val="24"/>
          <w:szCs w:val="24"/>
          <w:rtl w:val="0"/>
          <w:lang w:val="en-US"/>
        </w:rPr>
        <w:t>​​</w:t>
      </w:r>
      <w:r>
        <w:rPr>
          <w:rFonts w:ascii="Garamond" w:hAnsi="Garamond" w:hint="default"/>
          <w:sz w:val="24"/>
          <w:szCs w:val="24"/>
          <w:rtl w:val="0"/>
          <w:lang w:val="en-US"/>
        </w:rPr>
        <w:t>≥</w:t>
      </w:r>
      <w:r>
        <w:rPr>
          <w:rFonts w:ascii="Garamond" w:hAnsi="Garamond"/>
          <w:sz w:val="24"/>
          <w:szCs w:val="24"/>
          <w:rtl w:val="0"/>
          <w:lang w:val="en-US"/>
        </w:rPr>
        <w:t xml:space="preserve">0.8 were found among the independent variables, indicating a low risk of multicollinearity. All independent variables had variance inflation factors </w:t>
      </w:r>
      <w:r>
        <w:rPr>
          <w:rFonts w:ascii="Garamond" w:hAnsi="Garamond" w:hint="default"/>
          <w:sz w:val="24"/>
          <w:szCs w:val="24"/>
          <w:rtl w:val="0"/>
          <w:lang w:val="en-US"/>
        </w:rPr>
        <w:t>≤</w:t>
      </w:r>
      <w:r>
        <w:rPr>
          <w:rFonts w:ascii="Garamond" w:hAnsi="Garamond"/>
          <w:sz w:val="24"/>
          <w:szCs w:val="24"/>
          <w:rtl w:val="0"/>
          <w:lang w:val="en-US"/>
        </w:rPr>
        <w:t xml:space="preserve">10 and tolerance </w:t>
      </w:r>
      <w:r>
        <w:rPr>
          <w:rFonts w:ascii="Garamond" w:hAnsi="Garamond" w:hint="default"/>
          <w:sz w:val="24"/>
          <w:szCs w:val="24"/>
          <w:rtl w:val="0"/>
          <w:lang w:val="en-US"/>
        </w:rPr>
        <w:t>≥</w:t>
      </w:r>
      <w:r>
        <w:rPr>
          <w:rFonts w:ascii="Garamond" w:hAnsi="Garamond"/>
          <w:sz w:val="24"/>
          <w:szCs w:val="24"/>
          <w:rtl w:val="0"/>
          <w:lang w:val="en-US"/>
        </w:rPr>
        <w:t xml:space="preserve">0.1, indicating the absence of multicollinearity. </w:t>
      </w:r>
      <w:r>
        <w:rPr>
          <w:rFonts w:ascii="Garamond" w:hAnsi="Garamond"/>
          <w:sz w:val="24"/>
          <w:szCs w:val="24"/>
          <w:rtl w:val="0"/>
          <w:lang w:val="en-US"/>
          <w14:textOutline w14:w="12700" w14:cap="flat">
            <w14:noFill/>
            <w14:miter w14:lim="400000"/>
          </w14:textOutline>
        </w:rPr>
        <w:t>Since all the assumptions for the conduct</w:t>
      </w:r>
      <w:r>
        <w:rPr>
          <w:rFonts w:ascii="Garamond" w:hAnsi="Garamond"/>
          <w:sz w:val="24"/>
          <w:szCs w:val="24"/>
          <w:rtl w:val="0"/>
          <w14:textOutline w14:w="12700" w14:cap="flat">
            <w14:noFill/>
            <w14:miter w14:lim="400000"/>
          </w14:textOutline>
        </w:rPr>
        <w:t>ion</w:t>
      </w:r>
      <w:r>
        <w:rPr>
          <w:rFonts w:ascii="Garamond" w:hAnsi="Garamond"/>
          <w:sz w:val="24"/>
          <w:szCs w:val="24"/>
          <w:rtl w:val="0"/>
          <w:lang w:val="en-US"/>
          <w14:textOutline w14:w="12700" w14:cap="flat">
            <w14:noFill/>
            <w14:miter w14:lim="400000"/>
          </w14:textOutline>
        </w:rPr>
        <w:t xml:space="preserve"> of parametric statistics have been respected, the following </w:t>
      </w:r>
      <w:r>
        <w:rPr>
          <w:rFonts w:ascii="Garamond" w:hAnsi="Garamond"/>
          <w:sz w:val="24"/>
          <w:szCs w:val="24"/>
          <w:rtl w:val="0"/>
          <w14:textOutline w14:w="12700" w14:cap="flat">
            <w14:noFill/>
            <w14:miter w14:lim="400000"/>
          </w14:textOutline>
        </w:rPr>
        <w:t>analyses</w:t>
      </w:r>
      <w:r>
        <w:rPr>
          <w:rFonts w:ascii="Garamond" w:hAnsi="Garamond"/>
          <w:sz w:val="24"/>
          <w:szCs w:val="24"/>
          <w:rtl w:val="0"/>
          <w:lang w:val="en-US"/>
          <w14:textOutline w14:w="12700" w14:cap="flat">
            <w14:noFill/>
            <w14:miter w14:lim="400000"/>
          </w14:textOutline>
        </w:rPr>
        <w:t xml:space="preserve"> were computed. </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 xml:space="preserve">The independent sample t-test was used to assess the differences between </w:t>
      </w:r>
      <w:r>
        <w:rPr>
          <w:rFonts w:ascii="Garamond" w:hAnsi="Garamond"/>
          <w:outline w:val="0"/>
          <w:color w:val="202124"/>
          <w:sz w:val="24"/>
          <w:szCs w:val="24"/>
          <w:u w:color="202124"/>
          <w:rtl w:val="0"/>
          <w:lang w:val="en-US"/>
          <w14:textOutline w14:w="12700" w14:cap="flat">
            <w14:noFill/>
            <w14:miter w14:lim="400000"/>
          </w14:textOutline>
          <w14:textFill>
            <w14:solidFill>
              <w14:srgbClr w14:val="202124"/>
            </w14:solidFill>
          </w14:textFill>
        </w:rPr>
        <w:t xml:space="preserve">the averages of the SQ scores of the two </w:t>
      </w:r>
      <w:r>
        <w:rPr>
          <w:rFonts w:ascii="Garamond" w:hAnsi="Garamond"/>
          <w:sz w:val="24"/>
          <w:szCs w:val="24"/>
          <w:rtl w:val="0"/>
          <w:lang w:val="en-US"/>
        </w:rPr>
        <w:t>groups (2019 vs. 2022). Considering individual traits, a Pearson</w:t>
      </w:r>
      <w:r>
        <w:rPr>
          <w:rFonts w:ascii="Garamond" w:hAnsi="Garamond" w:hint="default"/>
          <w:sz w:val="24"/>
          <w:szCs w:val="24"/>
          <w:rtl w:val="0"/>
          <w:lang w:val="en-US"/>
        </w:rPr>
        <w:t>’</w:t>
      </w:r>
      <w:r>
        <w:rPr>
          <w:rFonts w:ascii="Garamond" w:hAnsi="Garamond"/>
          <w:sz w:val="24"/>
          <w:szCs w:val="24"/>
          <w:rtl w:val="0"/>
          <w:lang w:val="en-US"/>
        </w:rPr>
        <w:t>s c</w:t>
      </w:r>
      <w:r>
        <w:rPr>
          <w:rFonts w:ascii="Garamond" w:hAnsi="Garamond"/>
          <w:outline w:val="0"/>
          <w:color w:val="202124"/>
          <w:sz w:val="24"/>
          <w:szCs w:val="24"/>
          <w:u w:color="202124"/>
          <w:rtl w:val="0"/>
          <w:lang w:val="en-US"/>
          <w14:textOutline w14:w="12700" w14:cap="flat">
            <w14:noFill/>
            <w14:miter w14:lim="400000"/>
          </w14:textOutline>
          <w14:textFill>
            <w14:solidFill>
              <w14:srgbClr w14:val="202124"/>
            </w14:solidFill>
          </w14:textFill>
        </w:rPr>
        <w:t xml:space="preserve">orrelation between trait personality measures (PSQ and 16-PF5) have been performed. </w:t>
      </w:r>
      <w:r>
        <w:rPr>
          <w:rFonts w:ascii="Garamond" w:hAnsi="Garamond"/>
          <w:sz w:val="24"/>
          <w:szCs w:val="24"/>
          <w:rtl w:val="0"/>
          <w:lang w:val="en-US"/>
        </w:rPr>
        <w:t xml:space="preserve">Finally, hierarchical multiple regression analyses were performed to examine the amount of variance in psychological symptoms </w:t>
      </w:r>
      <w:r>
        <w:rPr>
          <w:rFonts w:ascii="Garamond" w:hAnsi="Garamond"/>
          <w:outline w:val="0"/>
          <w:color w:val="202124"/>
          <w:sz w:val="24"/>
          <w:szCs w:val="24"/>
          <w:u w:color="202124"/>
          <w:rtl w:val="0"/>
          <w:lang w:val="en-US"/>
          <w14:textOutline w14:w="12700" w14:cap="flat">
            <w14:noFill/>
            <w14:miter w14:lim="400000"/>
          </w14:textOutline>
          <w14:textFill>
            <w14:solidFill>
              <w14:srgbClr w14:val="202124"/>
            </w14:solidFill>
          </w14:textFill>
        </w:rPr>
        <w:t>(Anxiety, Depression, Somatic Complaints, and Hostility scales of the SQ</w:t>
      </w:r>
      <w:r>
        <w:rPr>
          <w:rFonts w:ascii="Garamond" w:hAnsi="Garamond"/>
          <w:sz w:val="24"/>
          <w:szCs w:val="24"/>
          <w:rtl w:val="0"/>
          <w:lang w:val="en-US"/>
        </w:rPr>
        <w:t xml:space="preserve">) explained by the independent variables (personality traits, 16-PF, and lifestyle at risk for stress-related physical disorders, PSQ). </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The descriptive analyses conducted on the entire 2022 sample highlighted clinical aspects noteworthy. Looking at the mean of the SQ scores, the global scales for Anxiety, Depression, Somatic Complaints, and Hostility exceed the clinical cut-off (= 4). The sub-scales of the SQ show that there is a greater involvement of the behavioral components than the cognitive ones.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Comparing these data with those of the group of students recruited from pre-Covid era, the t-test for independent samples c</w:t>
      </w:r>
      <w: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720090</wp:posOffset>
                </wp:positionH>
                <wp:positionV relativeFrom="page">
                  <wp:posOffset>1807112</wp:posOffset>
                </wp:positionV>
                <wp:extent cx="6438900" cy="6235700"/>
                <wp:effectExtent l="0" t="0" r="0" b="0"/>
                <wp:wrapTopAndBottom distT="0" distB="0"/>
                <wp:docPr id="1073741826" name="officeArt object"/>
                <wp:cNvGraphicFramePr/>
                <a:graphic xmlns:a="http://schemas.openxmlformats.org/drawingml/2006/main">
                  <a:graphicData uri="http://schemas.microsoft.com/office/word/2010/wordprocessingShape">
                    <wps:wsp>
                      <wps:cNvSpPr/>
                      <wps:spPr>
                        <a:xfrm>
                          <a:off x="0" y="0"/>
                          <a:ext cx="6438900" cy="6235700"/>
                        </a:xfrm>
                        <a:prstGeom prst="rect">
                          <a:avLst/>
                        </a:prstGeom>
                      </wps:spPr>
                      <wps:txbx>
                        <w:txbxContent>
                          <w:tbl>
                            <w:tblPr>
                              <w:tblW w:w="10090"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1251"/>
                              <w:gridCol w:w="2434"/>
                              <w:gridCol w:w="931"/>
                              <w:gridCol w:w="1199"/>
                              <w:gridCol w:w="971"/>
                              <w:gridCol w:w="645"/>
                              <w:gridCol w:w="1359"/>
                              <w:gridCol w:w="1300"/>
                            </w:tblGrid>
                            <w:tr>
                              <w:tblPrEx>
                                <w:shd w:val="clear" w:color="auto" w:fill="cadfff"/>
                              </w:tblPrEx>
                              <w:trPr>
                                <w:trHeight w:val="278" w:hRule="atLeast"/>
                              </w:trPr>
                              <w:tc>
                                <w:tcPr>
                                  <w:tcW w:type="dxa" w:w="5815"/>
                                  <w:gridSpan w:val="4"/>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b w:val="1"/>
                                      <w:bCs w:val="1"/>
                                      <w:sz w:val="24"/>
                                      <w:szCs w:val="24"/>
                                      <w:shd w:val="clear" w:color="auto" w:fill="ffffff"/>
                                      <w:rtl w:val="0"/>
                                      <w:lang w:val="fr-FR"/>
                                      <w14:textOutline w14:w="12700" w14:cap="flat">
                                        <w14:noFill/>
                                        <w14:miter w14:lim="400000"/>
                                      </w14:textOutline>
                                    </w:rPr>
                                    <w:t xml:space="preserve">Table </w:t>
                                  </w:r>
                                  <w:r>
                                    <w:rPr>
                                      <w:rFonts w:ascii="Garamond" w:hAnsi="Garamond"/>
                                      <w:b w:val="1"/>
                                      <w:bCs w:val="1"/>
                                      <w:sz w:val="24"/>
                                      <w:szCs w:val="24"/>
                                      <w:shd w:val="clear" w:color="auto" w:fill="ffffff"/>
                                      <w:rtl w:val="0"/>
                                      <w:lang w:val="it-IT"/>
                                      <w14:textOutline w14:w="12700" w14:cap="flat">
                                        <w14:noFill/>
                                        <w14:miter w14:lim="400000"/>
                                      </w14:textOutline>
                                    </w:rPr>
                                    <w:t>1</w:t>
                                  </w:r>
                                </w:p>
                              </w:tc>
                              <w:tc>
                                <w:tcPr>
                                  <w:tcW w:type="dxa" w:w="971"/>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645"/>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358"/>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300"/>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r>
                            <w:tr>
                              <w:tblPrEx>
                                <w:shd w:val="clear" w:color="auto" w:fill="cadfff"/>
                              </w:tblPrEx>
                              <w:trPr>
                                <w:trHeight w:val="1060" w:hRule="atLeast"/>
                              </w:trPr>
                              <w:tc>
                                <w:tcPr>
                                  <w:tcW w:type="dxa" w:w="10090"/>
                                  <w:gridSpan w:val="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rPr>
                                      <w:rFonts w:ascii="Garamond" w:cs="Garamond" w:hAnsi="Garamond" w:eastAsia="Garamond"/>
                                      <w:sz w:val="24"/>
                                      <w:szCs w:val="24"/>
                                      <w:shd w:val="clear" w:color="auto" w:fill="ffffff"/>
                                      <w:lang w:val="en-US"/>
                                      <w14:textOutline w14:w="12700" w14:cap="flat">
                                        <w14:noFill/>
                                        <w14:miter w14:lim="400000"/>
                                      </w14:textOutline>
                                    </w:rPr>
                                  </w:pPr>
                                  <w:r>
                                    <w:rPr>
                                      <w:rFonts w:ascii="Garamond" w:hAnsi="Garamond"/>
                                      <w:sz w:val="24"/>
                                      <w:szCs w:val="24"/>
                                      <w:shd w:val="clear" w:color="auto" w:fill="ffffff"/>
                                      <w:rtl w:val="0"/>
                                      <w:lang w:val="it-IT"/>
                                      <w14:textOutline w14:w="12700" w14:cap="flat">
                                        <w14:noFill/>
                                        <w14:miter w14:lim="400000"/>
                                      </w14:textOutline>
                                    </w:rPr>
                                    <w:t xml:space="preserve">Scores of the sub-scales of the Symptom Questionnaire (Anxiety, Depression, Somatic Complaints, and Hostility). Means and Standard deviations </w:t>
                                  </w:r>
                                  <w:r>
                                    <w:rPr>
                                      <w:rFonts w:ascii="Garamond" w:hAnsi="Garamond"/>
                                      <w:sz w:val="24"/>
                                      <w:szCs w:val="24"/>
                                      <w:shd w:val="clear" w:color="auto" w:fill="ffffff"/>
                                      <w:rtl w:val="0"/>
                                      <w:lang w:val="en-US"/>
                                      <w14:textOutline w14:w="12700" w14:cap="flat">
                                        <w14:noFill/>
                                        <w14:miter w14:lim="400000"/>
                                      </w14:textOutline>
                                    </w:rPr>
                                    <w:t>before</w:t>
                                  </w:r>
                                  <w:r>
                                    <w:rPr>
                                      <w:rFonts w:ascii="Garamond" w:hAnsi="Garamond"/>
                                      <w:sz w:val="24"/>
                                      <w:szCs w:val="24"/>
                                      <w:rtl w:val="0"/>
                                      <w:lang w:val="it-IT"/>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the pandemic</w:t>
                                  </w:r>
                                  <w:r>
                                    <w:rPr>
                                      <w:rFonts w:ascii="Garamond" w:hAnsi="Garamond"/>
                                      <w:sz w:val="24"/>
                                      <w:szCs w:val="24"/>
                                      <w:shd w:val="clear" w:color="auto" w:fill="ffffff"/>
                                      <w:rtl w:val="0"/>
                                      <w:lang w:val="en-US"/>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sample of 2019</w:t>
                                  </w:r>
                                  <w:r>
                                    <w:rPr>
                                      <w:rFonts w:ascii="Garamond" w:hAnsi="Garamond"/>
                                      <w:sz w:val="24"/>
                                      <w:szCs w:val="24"/>
                                      <w:shd w:val="clear" w:color="auto" w:fill="ffffff"/>
                                      <w:rtl w:val="0"/>
                                      <w:lang w:val="en-US"/>
                                      <w14:textOutline w14:w="12700" w14:cap="flat">
                                        <w14:noFill/>
                                        <w14:miter w14:lim="400000"/>
                                      </w14:textOutline>
                                    </w:rPr>
                                    <w:t xml:space="preserve">) and at the </w:t>
                                  </w:r>
                                  <w:r>
                                    <w:rPr>
                                      <w:rFonts w:ascii="Garamond" w:hAnsi="Garamond"/>
                                      <w:sz w:val="24"/>
                                      <w:szCs w:val="24"/>
                                      <w:shd w:val="clear" w:color="auto" w:fill="ffffff"/>
                                      <w:rtl w:val="0"/>
                                      <w:lang w:val="it-IT"/>
                                      <w14:textOutline w14:w="12700" w14:cap="flat">
                                        <w14:noFill/>
                                        <w14:miter w14:lim="400000"/>
                                      </w14:textOutline>
                                    </w:rPr>
                                    <w:t>actual phase</w:t>
                                  </w:r>
                                  <w:r>
                                    <w:rPr>
                                      <w:rFonts w:ascii="Garamond" w:hAnsi="Garamond"/>
                                      <w:sz w:val="24"/>
                                      <w:szCs w:val="24"/>
                                      <w:shd w:val="clear" w:color="auto" w:fill="ffffff"/>
                                      <w:rtl w:val="0"/>
                                      <w:lang w:val="en-US"/>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sample of 2022</w:t>
                                  </w:r>
                                  <w:r>
                                    <w:rPr>
                                      <w:rFonts w:ascii="Garamond" w:hAnsi="Garamond"/>
                                      <w:sz w:val="24"/>
                                      <w:szCs w:val="24"/>
                                      <w:shd w:val="clear" w:color="auto" w:fill="ffffff"/>
                                      <w:rtl w:val="0"/>
                                      <w:lang w:val="en-US"/>
                                      <w14:textOutline w14:w="12700" w14:cap="flat">
                                        <w14:noFill/>
                                        <w14:miter w14:lim="400000"/>
                                      </w14:textOutline>
                                    </w:rPr>
                                    <w:t>)</w:t>
                                  </w:r>
                                  <w:r>
                                    <w:rPr>
                                      <w:rFonts w:ascii="Garamond" w:hAnsi="Garamond"/>
                                      <w:sz w:val="24"/>
                                      <w:szCs w:val="24"/>
                                      <w:shd w:val="clear" w:color="auto" w:fill="ffffff"/>
                                      <w:rtl w:val="0"/>
                                      <w:lang w:val="it-IT"/>
                                      <w14:textOutline w14:w="12700" w14:cap="flat">
                                        <w14:noFill/>
                                        <w14:miter w14:lim="400000"/>
                                      </w14:textOutline>
                                    </w:rPr>
                                    <w:t xml:space="preserve">. </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rtl w:val="0"/>
                                      <w:lang w:val="en-US"/>
                                      <w14:textOutline w14:w="12700" w14:cap="flat">
                                        <w14:noFill/>
                                        <w14:miter w14:lim="400000"/>
                                      </w14:textOutline>
                                    </w:rPr>
                                    <w:t xml:space="preserve">*Significant at </w:t>
                                  </w:r>
                                  <w:r>
                                    <w:rPr>
                                      <w:rFonts w:ascii="Garamond" w:hAnsi="Garamond"/>
                                      <w:i w:val="1"/>
                                      <w:iCs w:val="1"/>
                                      <w:sz w:val="24"/>
                                      <w:szCs w:val="24"/>
                                      <w:rtl w:val="0"/>
                                      <w:lang w:val="nl-NL"/>
                                      <w14:textOutline w14:w="12700" w14:cap="flat">
                                        <w14:noFill/>
                                        <w14:miter w14:lim="400000"/>
                                      </w14:textOutline>
                                    </w:rPr>
                                    <w:t xml:space="preserve">p </w:t>
                                  </w:r>
                                  <w:r>
                                    <w:rPr>
                                      <w:rFonts w:ascii="Garamond" w:hAnsi="Garamond"/>
                                      <w:sz w:val="24"/>
                                      <w:szCs w:val="24"/>
                                      <w:rtl w:val="0"/>
                                      <w14:textOutline w14:w="12700" w14:cap="flat">
                                        <w14:noFill/>
                                        <w14:miter w14:lim="400000"/>
                                      </w14:textOutline>
                                    </w:rPr>
                                    <w:t>&lt; 0.05</w:t>
                                  </w:r>
                                  <w:r>
                                    <w:rPr>
                                      <w:rFonts w:ascii="Garamond" w:hAnsi="Garamond"/>
                                      <w:sz w:val="24"/>
                                      <w:szCs w:val="24"/>
                                      <w:rtl w:val="0"/>
                                      <w:lang w:val="it-IT"/>
                                      <w14:textOutline w14:w="12700" w14:cap="flat">
                                        <w14:noFill/>
                                        <w14:miter w14:lim="400000"/>
                                      </w14:textOutline>
                                    </w:rPr>
                                    <w:t>.</w:t>
                                  </w:r>
                                </w:p>
                              </w:tc>
                            </w:tr>
                            <w:tr>
                              <w:tblPrEx>
                                <w:shd w:val="clear" w:color="auto" w:fill="cadfff"/>
                              </w:tblPrEx>
                              <w:trPr>
                                <w:trHeight w:val="800" w:hRule="atLeast"/>
                              </w:trPr>
                              <w:tc>
                                <w:tcPr>
                                  <w:tcW w:type="dxa" w:w="125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129"/>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 xml:space="preserve">Sample of 2019 </w:t>
                                  </w:r>
                                </w:p>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(pre-Covid)</w:t>
                                  </w:r>
                                </w:p>
                              </w:tc>
                              <w:tc>
                                <w:tcPr>
                                  <w:tcW w:type="dxa" w:w="1616"/>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 xml:space="preserve">Sample of 2022 </w:t>
                                  </w:r>
                                </w:p>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(post-Covid)</w:t>
                                  </w:r>
                                </w:p>
                              </w:tc>
                              <w:tc>
                                <w:tcPr>
                                  <w:tcW w:type="dxa" w:w="2659"/>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t-test for independent sample</w:t>
                                  </w:r>
                                </w:p>
                              </w:tc>
                            </w:tr>
                            <w:tr>
                              <w:tblPrEx>
                                <w:shd w:val="clear" w:color="auto" w:fill="cadfff"/>
                              </w:tblPrEx>
                              <w:trPr>
                                <w:trHeight w:val="310" w:hRule="atLeast"/>
                              </w:trPr>
                              <w:tc>
                                <w:tcPr>
                                  <w:tcW w:type="dxa" w:w="125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930"/>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11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97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645"/>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135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t value</w:t>
                                  </w:r>
                                </w:p>
                              </w:tc>
                              <w:tc>
                                <w:tcPr>
                                  <w:tcW w:type="dxa" w:w="1300"/>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Anxiety</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Anxiety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5.05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3.61</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7.05</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3.53</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3.86</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Relax</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1.87</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1.59</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2.67</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1.88</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3.08</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6.92</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4.71</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9.72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4.63</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4.12</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Depression</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Depression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3.8</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6.44</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4.02</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4.20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feel happy</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1.42</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1.65</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1.41</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1.71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-0.06</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5.45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4.88</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7.85</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5.09</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3.30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Somatic Complaints</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Somatic Complaints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4.67</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4.06</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6.62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4.51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3.09</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feel pleasure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1.83</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1.57</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3.06</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1.84</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4.83</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5.13</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9.68</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5.82</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3.93</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Hostility</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Hostility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4.07</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4.59</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3.71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1.05</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80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en-US"/>
                                      <w14:textOutline w14:w="12700" w14:cap="flat">
                                        <w14:noFill/>
                                        <w14:miter w14:lim="400000"/>
                                      </w14:textOutline>
                                    </w:rPr>
                                    <w:t>Inability to have a good disposition towards others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1.43</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1.50</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-0.20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5.24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5.12</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5.79</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0.78</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bl>
                        </w:txbxContent>
                      </wps:txbx>
                      <wps:bodyPr lIns="0" tIns="0" rIns="0" bIns="0">
                        <a:spAutoFit/>
                      </wps:bodyPr>
                    </wps:wsp>
                  </a:graphicData>
                </a:graphic>
              </wp:anchor>
            </w:drawing>
          </mc:Choice>
          <mc:Fallback>
            <w:pict>
              <v:shape id="_x0000_s1026" type="#_x0000_t202" style="visibility:visible;position:absolute;margin-left:56.7pt;margin-top:142.3pt;width:507.0pt;height:491.0pt;z-index:251660288;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090"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1251"/>
                        <w:gridCol w:w="2434"/>
                        <w:gridCol w:w="931"/>
                        <w:gridCol w:w="1199"/>
                        <w:gridCol w:w="971"/>
                        <w:gridCol w:w="645"/>
                        <w:gridCol w:w="1359"/>
                        <w:gridCol w:w="1300"/>
                      </w:tblGrid>
                      <w:tr>
                        <w:tblPrEx>
                          <w:shd w:val="clear" w:color="auto" w:fill="cadfff"/>
                        </w:tblPrEx>
                        <w:trPr>
                          <w:trHeight w:val="278" w:hRule="atLeast"/>
                        </w:trPr>
                        <w:tc>
                          <w:tcPr>
                            <w:tcW w:type="dxa" w:w="5815"/>
                            <w:gridSpan w:val="4"/>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b w:val="1"/>
                                <w:bCs w:val="1"/>
                                <w:sz w:val="24"/>
                                <w:szCs w:val="24"/>
                                <w:shd w:val="clear" w:color="auto" w:fill="ffffff"/>
                                <w:rtl w:val="0"/>
                                <w:lang w:val="fr-FR"/>
                                <w14:textOutline w14:w="12700" w14:cap="flat">
                                  <w14:noFill/>
                                  <w14:miter w14:lim="400000"/>
                                </w14:textOutline>
                              </w:rPr>
                              <w:t xml:space="preserve">Table </w:t>
                            </w:r>
                            <w:r>
                              <w:rPr>
                                <w:rFonts w:ascii="Garamond" w:hAnsi="Garamond"/>
                                <w:b w:val="1"/>
                                <w:bCs w:val="1"/>
                                <w:sz w:val="24"/>
                                <w:szCs w:val="24"/>
                                <w:shd w:val="clear" w:color="auto" w:fill="ffffff"/>
                                <w:rtl w:val="0"/>
                                <w:lang w:val="it-IT"/>
                                <w14:textOutline w14:w="12700" w14:cap="flat">
                                  <w14:noFill/>
                                  <w14:miter w14:lim="400000"/>
                                </w14:textOutline>
                              </w:rPr>
                              <w:t>1</w:t>
                            </w:r>
                          </w:p>
                        </w:tc>
                        <w:tc>
                          <w:tcPr>
                            <w:tcW w:type="dxa" w:w="971"/>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645"/>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358"/>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300"/>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r>
                      <w:tr>
                        <w:tblPrEx>
                          <w:shd w:val="clear" w:color="auto" w:fill="cadfff"/>
                        </w:tblPrEx>
                        <w:trPr>
                          <w:trHeight w:val="1060" w:hRule="atLeast"/>
                        </w:trPr>
                        <w:tc>
                          <w:tcPr>
                            <w:tcW w:type="dxa" w:w="10090"/>
                            <w:gridSpan w:val="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rPr>
                                <w:rFonts w:ascii="Garamond" w:cs="Garamond" w:hAnsi="Garamond" w:eastAsia="Garamond"/>
                                <w:sz w:val="24"/>
                                <w:szCs w:val="24"/>
                                <w:shd w:val="clear" w:color="auto" w:fill="ffffff"/>
                                <w:lang w:val="en-US"/>
                                <w14:textOutline w14:w="12700" w14:cap="flat">
                                  <w14:noFill/>
                                  <w14:miter w14:lim="400000"/>
                                </w14:textOutline>
                              </w:rPr>
                            </w:pPr>
                            <w:r>
                              <w:rPr>
                                <w:rFonts w:ascii="Garamond" w:hAnsi="Garamond"/>
                                <w:sz w:val="24"/>
                                <w:szCs w:val="24"/>
                                <w:shd w:val="clear" w:color="auto" w:fill="ffffff"/>
                                <w:rtl w:val="0"/>
                                <w:lang w:val="it-IT"/>
                                <w14:textOutline w14:w="12700" w14:cap="flat">
                                  <w14:noFill/>
                                  <w14:miter w14:lim="400000"/>
                                </w14:textOutline>
                              </w:rPr>
                              <w:t xml:space="preserve">Scores of the sub-scales of the Symptom Questionnaire (Anxiety, Depression, Somatic Complaints, and Hostility). Means and Standard deviations </w:t>
                            </w:r>
                            <w:r>
                              <w:rPr>
                                <w:rFonts w:ascii="Garamond" w:hAnsi="Garamond"/>
                                <w:sz w:val="24"/>
                                <w:szCs w:val="24"/>
                                <w:shd w:val="clear" w:color="auto" w:fill="ffffff"/>
                                <w:rtl w:val="0"/>
                                <w:lang w:val="en-US"/>
                                <w14:textOutline w14:w="12700" w14:cap="flat">
                                  <w14:noFill/>
                                  <w14:miter w14:lim="400000"/>
                                </w14:textOutline>
                              </w:rPr>
                              <w:t>before</w:t>
                            </w:r>
                            <w:r>
                              <w:rPr>
                                <w:rFonts w:ascii="Garamond" w:hAnsi="Garamond"/>
                                <w:sz w:val="24"/>
                                <w:szCs w:val="24"/>
                                <w:rtl w:val="0"/>
                                <w:lang w:val="it-IT"/>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the pandemic</w:t>
                            </w:r>
                            <w:r>
                              <w:rPr>
                                <w:rFonts w:ascii="Garamond" w:hAnsi="Garamond"/>
                                <w:sz w:val="24"/>
                                <w:szCs w:val="24"/>
                                <w:shd w:val="clear" w:color="auto" w:fill="ffffff"/>
                                <w:rtl w:val="0"/>
                                <w:lang w:val="en-US"/>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sample of 2019</w:t>
                            </w:r>
                            <w:r>
                              <w:rPr>
                                <w:rFonts w:ascii="Garamond" w:hAnsi="Garamond"/>
                                <w:sz w:val="24"/>
                                <w:szCs w:val="24"/>
                                <w:shd w:val="clear" w:color="auto" w:fill="ffffff"/>
                                <w:rtl w:val="0"/>
                                <w:lang w:val="en-US"/>
                                <w14:textOutline w14:w="12700" w14:cap="flat">
                                  <w14:noFill/>
                                  <w14:miter w14:lim="400000"/>
                                </w14:textOutline>
                              </w:rPr>
                              <w:t xml:space="preserve">) and at the </w:t>
                            </w:r>
                            <w:r>
                              <w:rPr>
                                <w:rFonts w:ascii="Garamond" w:hAnsi="Garamond"/>
                                <w:sz w:val="24"/>
                                <w:szCs w:val="24"/>
                                <w:shd w:val="clear" w:color="auto" w:fill="ffffff"/>
                                <w:rtl w:val="0"/>
                                <w:lang w:val="it-IT"/>
                                <w14:textOutline w14:w="12700" w14:cap="flat">
                                  <w14:noFill/>
                                  <w14:miter w14:lim="400000"/>
                                </w14:textOutline>
                              </w:rPr>
                              <w:t>actual phase</w:t>
                            </w:r>
                            <w:r>
                              <w:rPr>
                                <w:rFonts w:ascii="Garamond" w:hAnsi="Garamond"/>
                                <w:sz w:val="24"/>
                                <w:szCs w:val="24"/>
                                <w:shd w:val="clear" w:color="auto" w:fill="ffffff"/>
                                <w:rtl w:val="0"/>
                                <w:lang w:val="en-US"/>
                                <w14:textOutline w14:w="12700" w14:cap="flat">
                                  <w14:noFill/>
                                  <w14:miter w14:lim="400000"/>
                                </w14:textOutline>
                              </w:rPr>
                              <w:t xml:space="preserve"> (</w:t>
                            </w:r>
                            <w:r>
                              <w:rPr>
                                <w:rFonts w:ascii="Garamond" w:hAnsi="Garamond"/>
                                <w:sz w:val="24"/>
                                <w:szCs w:val="24"/>
                                <w:shd w:val="clear" w:color="auto" w:fill="ffffff"/>
                                <w:rtl w:val="0"/>
                                <w:lang w:val="it-IT"/>
                                <w14:textOutline w14:w="12700" w14:cap="flat">
                                  <w14:noFill/>
                                  <w14:miter w14:lim="400000"/>
                                </w14:textOutline>
                              </w:rPr>
                              <w:t>sample of 2022</w:t>
                            </w:r>
                            <w:r>
                              <w:rPr>
                                <w:rFonts w:ascii="Garamond" w:hAnsi="Garamond"/>
                                <w:sz w:val="24"/>
                                <w:szCs w:val="24"/>
                                <w:shd w:val="clear" w:color="auto" w:fill="ffffff"/>
                                <w:rtl w:val="0"/>
                                <w:lang w:val="en-US"/>
                                <w14:textOutline w14:w="12700" w14:cap="flat">
                                  <w14:noFill/>
                                  <w14:miter w14:lim="400000"/>
                                </w14:textOutline>
                              </w:rPr>
                              <w:t>)</w:t>
                            </w:r>
                            <w:r>
                              <w:rPr>
                                <w:rFonts w:ascii="Garamond" w:hAnsi="Garamond"/>
                                <w:sz w:val="24"/>
                                <w:szCs w:val="24"/>
                                <w:shd w:val="clear" w:color="auto" w:fill="ffffff"/>
                                <w:rtl w:val="0"/>
                                <w:lang w:val="it-IT"/>
                                <w14:textOutline w14:w="12700" w14:cap="flat">
                                  <w14:noFill/>
                                  <w14:miter w14:lim="400000"/>
                                </w14:textOutline>
                              </w:rPr>
                              <w:t xml:space="preserve">. </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rtl w:val="0"/>
                                <w:lang w:val="en-US"/>
                                <w14:textOutline w14:w="12700" w14:cap="flat">
                                  <w14:noFill/>
                                  <w14:miter w14:lim="400000"/>
                                </w14:textOutline>
                              </w:rPr>
                              <w:t xml:space="preserve">*Significant at </w:t>
                            </w:r>
                            <w:r>
                              <w:rPr>
                                <w:rFonts w:ascii="Garamond" w:hAnsi="Garamond"/>
                                <w:i w:val="1"/>
                                <w:iCs w:val="1"/>
                                <w:sz w:val="24"/>
                                <w:szCs w:val="24"/>
                                <w:rtl w:val="0"/>
                                <w:lang w:val="nl-NL"/>
                                <w14:textOutline w14:w="12700" w14:cap="flat">
                                  <w14:noFill/>
                                  <w14:miter w14:lim="400000"/>
                                </w14:textOutline>
                              </w:rPr>
                              <w:t xml:space="preserve">p </w:t>
                            </w:r>
                            <w:r>
                              <w:rPr>
                                <w:rFonts w:ascii="Garamond" w:hAnsi="Garamond"/>
                                <w:sz w:val="24"/>
                                <w:szCs w:val="24"/>
                                <w:rtl w:val="0"/>
                                <w14:textOutline w14:w="12700" w14:cap="flat">
                                  <w14:noFill/>
                                  <w14:miter w14:lim="400000"/>
                                </w14:textOutline>
                              </w:rPr>
                              <w:t>&lt; 0.05</w:t>
                            </w:r>
                            <w:r>
                              <w:rPr>
                                <w:rFonts w:ascii="Garamond" w:hAnsi="Garamond"/>
                                <w:sz w:val="24"/>
                                <w:szCs w:val="24"/>
                                <w:rtl w:val="0"/>
                                <w:lang w:val="it-IT"/>
                                <w14:textOutline w14:w="12700" w14:cap="flat">
                                  <w14:noFill/>
                                  <w14:miter w14:lim="400000"/>
                                </w14:textOutline>
                              </w:rPr>
                              <w:t>.</w:t>
                            </w:r>
                          </w:p>
                        </w:tc>
                      </w:tr>
                      <w:tr>
                        <w:tblPrEx>
                          <w:shd w:val="clear" w:color="auto" w:fill="cadfff"/>
                        </w:tblPrEx>
                        <w:trPr>
                          <w:trHeight w:val="800" w:hRule="atLeast"/>
                        </w:trPr>
                        <w:tc>
                          <w:tcPr>
                            <w:tcW w:type="dxa" w:w="125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129"/>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 xml:space="preserve">Sample of 2019 </w:t>
                            </w:r>
                          </w:p>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(pre-Covid)</w:t>
                            </w:r>
                          </w:p>
                        </w:tc>
                        <w:tc>
                          <w:tcPr>
                            <w:tcW w:type="dxa" w:w="1616"/>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 xml:space="preserve">Sample of 2022 </w:t>
                            </w:r>
                          </w:p>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(post-Covid)</w:t>
                            </w:r>
                          </w:p>
                        </w:tc>
                        <w:tc>
                          <w:tcPr>
                            <w:tcW w:type="dxa" w:w="2659"/>
                            <w:gridSpan w:val="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t-test for independent sample</w:t>
                            </w:r>
                          </w:p>
                        </w:tc>
                      </w:tr>
                      <w:tr>
                        <w:tblPrEx>
                          <w:shd w:val="clear" w:color="auto" w:fill="cadfff"/>
                        </w:tblPrEx>
                        <w:trPr>
                          <w:trHeight w:val="310" w:hRule="atLeast"/>
                        </w:trPr>
                        <w:tc>
                          <w:tcPr>
                            <w:tcW w:type="dxa" w:w="125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930"/>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11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971"/>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645"/>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135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t value</w:t>
                            </w:r>
                          </w:p>
                        </w:tc>
                        <w:tc>
                          <w:tcPr>
                            <w:tcW w:type="dxa" w:w="1300"/>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p</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Anxiety</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Anxiety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5.05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3.61</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7.05</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3.53</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3.86</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Relax</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1.87</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1.59</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2.67</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1.88</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3.08</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6.92</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4.71</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9.72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4.63</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4.12</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Depression</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Depression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3.8</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6.44</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4.02</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4.20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feel happy</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1.42</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1.65</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1.41</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1.71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-0.06</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5.45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4.88</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7.85</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5.09</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3.30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Somatic Complaints</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Somatic Complaints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4.67</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4.06</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6.62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4.51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3.09</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Inability to feel pleasure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1.83</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1.57</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3.06</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1.84</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4.83</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6.5</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5.13</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9.68</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5.82</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3.93</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&lt;.001</w:t>
                            </w:r>
                          </w:p>
                        </w:tc>
                      </w:tr>
                      <w:tr>
                        <w:tblPrEx>
                          <w:shd w:val="clear" w:color="auto" w:fill="cadfff"/>
                        </w:tblPrEx>
                        <w:trPr>
                          <w:trHeight w:val="360" w:hRule="atLeast"/>
                        </w:trPr>
                        <w:tc>
                          <w:tcPr>
                            <w:tcW w:type="dxa" w:w="1251"/>
                            <w:vMerge w:val="restart"/>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Hostility</w:t>
                            </w: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Hostility symptoms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4.07</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4.59</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3.71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1.05</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80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en-US"/>
                                <w14:textOutline w14:w="12700" w14:cap="flat">
                                  <w14:noFill/>
                                  <w14:miter w14:lim="400000"/>
                                </w14:textOutline>
                              </w:rPr>
                              <w:t>Inability to have a good disposition towards others</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1.43</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1.50</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-0.20</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r>
                        <w:tblPrEx>
                          <w:shd w:val="clear" w:color="auto" w:fill="cadfff"/>
                        </w:tblPrEx>
                        <w:trPr>
                          <w:trHeight w:val="360" w:hRule="atLeast"/>
                        </w:trPr>
                        <w:tc>
                          <w:tcPr>
                            <w:tcW w:type="dxa" w:w="1251"/>
                            <w:vMerge w:val="continue"/>
                            <w:tcBorders>
                              <w:top w:val="single" w:color="000000" w:sz="8" w:space="0" w:shadow="0" w:frame="0"/>
                              <w:left w:val="nil"/>
                              <w:bottom w:val="single" w:color="000000" w:sz="8" w:space="0" w:shadow="0" w:frame="0"/>
                              <w:right w:val="nil"/>
                            </w:tcBorders>
                            <w:shd w:val="clear" w:color="auto" w:fill="ffffff"/>
                          </w:tcPr>
                          <w:p/>
                        </w:tc>
                        <w:tc>
                          <w:tcPr>
                            <w:tcW w:type="dxa" w:w="243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s>
                              <w:spacing w:after="0" w:line="240" w:lineRule="auto"/>
                              <w:jc w:val="center"/>
                            </w:pPr>
                            <w:r>
                              <w:rPr>
                                <w:rFonts w:ascii="Garamond" w:hAnsi="Garamond"/>
                                <w:sz w:val="24"/>
                                <w:szCs w:val="24"/>
                                <w:shd w:val="clear" w:color="auto" w:fill="ffffff"/>
                                <w:rtl w:val="0"/>
                                <w:lang w:val="it-IT"/>
                                <w14:textOutline w14:w="12700" w14:cap="flat">
                                  <w14:noFill/>
                                  <w14:miter w14:lim="400000"/>
                                </w14:textOutline>
                              </w:rPr>
                              <w:t>Total score</w:t>
                            </w:r>
                          </w:p>
                        </w:tc>
                        <w:tc>
                          <w:tcPr>
                            <w:tcW w:type="dxa" w:w="93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5.24</w:t>
                            </w:r>
                          </w:p>
                        </w:tc>
                        <w:tc>
                          <w:tcPr>
                            <w:tcW w:type="dxa" w:w="11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5.12</w:t>
                            </w:r>
                          </w:p>
                        </w:tc>
                        <w:tc>
                          <w:tcPr>
                            <w:tcW w:type="dxa" w:w="971"/>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5.79</w:t>
                            </w:r>
                          </w:p>
                        </w:tc>
                        <w:tc>
                          <w:tcPr>
                            <w:tcW w:type="dxa" w:w="645"/>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4.61</w:t>
                            </w:r>
                          </w:p>
                        </w:tc>
                        <w:tc>
                          <w:tcPr>
                            <w:tcW w:type="dxa" w:w="1358"/>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0.78</w:t>
                            </w:r>
                          </w:p>
                        </w:tc>
                        <w:tc>
                          <w:tcPr>
                            <w:tcW w:type="dxa" w:w="1300"/>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n.s.</w:t>
                            </w:r>
                          </w:p>
                        </w:tc>
                      </w:tr>
                    </w:tbl>
                  </w:txbxContent>
                </v:textbox>
                <w10:wrap type="topAndBottom" side="bothSides" anchorx="page" anchory="page"/>
              </v:shape>
            </w:pict>
          </mc:Fallback>
        </mc:AlternateContent>
      </w:r>
      <w:r>
        <w:rPr>
          <w:rFonts w:ascii="Garamond" w:hAnsi="Garamond"/>
          <w:sz w:val="24"/>
          <w:szCs w:val="24"/>
          <w:rtl w:val="0"/>
          <w:lang w:val="en-US"/>
        </w:rPr>
        <w:t>onstituted a significant increase for the global clinical scales of Anxiety, Depression, and Somatic Complaints (Table 1).</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The descriptive analyses conducted on the PSQ, which investigates the presence of behaviors and lifestyles at risk for stress-related physical disorders, highlighted medium-high scores on the Stress Disorders (7/9 stanine points) and Spare Time (7/9 stanine points) scales. These results underline the presence of somatizations specifically connected to psychological stress, the difficulty in dedicating time to extra-curricular, and relaxing activities useful for "disconnecting" from commitments (Table 2).</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rPr>
      </w:pPr>
      <w:r>
        <w:rPr>
          <w:rFonts w:ascii="Garamond" w:hAnsi="Garamond"/>
          <w:sz w:val="24"/>
          <w:szCs w:val="24"/>
          <w:rtl w:val="0"/>
          <w:lang w:val="en-US"/>
        </w:rPr>
        <w:t>Other interesting considerations connected to individual differences concern the personality dimensions investigated by the 16-PF. Considering that the average scores fall between 3 and 7 stanine points, medium-low scores emerged for factors A (Expansivity), G (Conscientiousness), and H (Social Audacity). Lower scores at factors C (Emotional Stability), N (Prudence), Q2 (Self Confidence), and IM (Imagine Management, that is the Validity Scale) can be observed. Medium-high scores were recorded for factors I (Sensitivity) and L (Vigilance), and the factor Q4 (Somatic tension) was recorded as a high score. Essentially, the sample of students recruited is emotionally unstable and reactive (factor C) and very tense (factor Q4). Furthermore, they are inclined to rigid compliance with social norms (factor G) but, at the same time, base their considerations on empathy and feelings (factor I). In addition to this, some interesting characteristics emerge fr</w:t>
      </w:r>
      <w: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552234</wp:posOffset>
                </wp:positionH>
                <wp:positionV relativeFrom="page">
                  <wp:posOffset>1395043</wp:posOffset>
                </wp:positionV>
                <wp:extent cx="6438900" cy="3365500"/>
                <wp:effectExtent l="0" t="0" r="0" b="0"/>
                <wp:wrapTopAndBottom distT="0" distB="0"/>
                <wp:docPr id="1073741827" name="officeArt object"/>
                <wp:cNvGraphicFramePr/>
                <a:graphic xmlns:a="http://schemas.openxmlformats.org/drawingml/2006/main">
                  <a:graphicData uri="http://schemas.microsoft.com/office/word/2010/wordprocessingShape">
                    <wps:wsp>
                      <wps:cNvSpPr/>
                      <wps:spPr>
                        <a:xfrm>
                          <a:off x="0" y="0"/>
                          <a:ext cx="6438900" cy="3365500"/>
                        </a:xfrm>
                        <a:prstGeom prst="rect">
                          <a:avLst/>
                        </a:prstGeom>
                      </wps:spPr>
                      <wps:txbx>
                        <w:txbxContent>
                          <w:tbl>
                            <w:tblPr>
                              <w:tblW w:w="10090"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262"/>
                              <w:gridCol w:w="1629"/>
                              <w:gridCol w:w="2100"/>
                              <w:gridCol w:w="2099"/>
                            </w:tblGrid>
                            <w:tr>
                              <w:tblPrEx>
                                <w:shd w:val="clear" w:color="auto" w:fill="cadfff"/>
                              </w:tblPrEx>
                              <w:trPr>
                                <w:trHeight w:val="278" w:hRule="atLeast"/>
                              </w:trPr>
                              <w:tc>
                                <w:tcPr>
                                  <w:tcW w:type="dxa" w:w="7991"/>
                                  <w:gridSpan w:val="3"/>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b w:val="1"/>
                                      <w:bCs w:val="1"/>
                                      <w:sz w:val="24"/>
                                      <w:szCs w:val="24"/>
                                      <w:shd w:val="clear" w:color="auto" w:fill="ffffff"/>
                                      <w:rtl w:val="0"/>
                                      <w:lang w:val="fr-FR"/>
                                      <w14:textOutline w14:w="12700" w14:cap="flat">
                                        <w14:noFill/>
                                        <w14:miter w14:lim="400000"/>
                                      </w14:textOutline>
                                    </w:rPr>
                                    <w:t xml:space="preserve">Table </w:t>
                                  </w:r>
                                  <w:r>
                                    <w:rPr>
                                      <w:rFonts w:ascii="Garamond" w:hAnsi="Garamond"/>
                                      <w:b w:val="1"/>
                                      <w:bCs w:val="1"/>
                                      <w:sz w:val="24"/>
                                      <w:szCs w:val="24"/>
                                      <w:shd w:val="clear" w:color="auto" w:fill="ffffff"/>
                                      <w:rtl w:val="0"/>
                                      <w:lang w:val="it-IT"/>
                                      <w14:textOutline w14:w="12700" w14:cap="flat">
                                        <w14:noFill/>
                                        <w14:miter w14:lim="400000"/>
                                      </w14:textOutline>
                                    </w:rPr>
                                    <w:t>2</w:t>
                                  </w:r>
                                </w:p>
                              </w:tc>
                              <w:tc>
                                <w:tcPr>
                                  <w:tcW w:type="dxa" w:w="2099"/>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r>
                            <w:tr>
                              <w:tblPrEx>
                                <w:shd w:val="clear" w:color="auto" w:fill="cadfff"/>
                              </w:tblPrEx>
                              <w:trPr>
                                <w:trHeight w:val="540" w:hRule="atLeast"/>
                              </w:trPr>
                              <w:tc>
                                <w:tcPr>
                                  <w:tcW w:type="dxa" w:w="10090"/>
                                  <w:gridSpan w:val="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shd w:val="clear" w:color="auto" w:fill="ffffff"/>
                                      <w:rtl w:val="0"/>
                                      <w:lang w:val="it-IT"/>
                                      <w14:textOutline w14:w="12700" w14:cap="flat">
                                        <w14:noFill/>
                                        <w14:miter w14:lim="400000"/>
                                      </w14:textOutline>
                                    </w:rPr>
                                    <w:t xml:space="preserve">Means and Standard deviations of the scores of the PSQ. On the right column stanine scores are reported (ranging </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from 1 to 9</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 s</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cores between 4 and 7 are considered average</w:t>
                                  </w:r>
                                  <w:r>
                                    <w:rPr>
                                      <w:rFonts w:ascii="Garamond" w:hAnsi="Garamond"/>
                                      <w:sz w:val="24"/>
                                      <w:szCs w:val="24"/>
                                      <w:shd w:val="clear" w:color="auto" w:fill="ffffff"/>
                                      <w:rtl w:val="0"/>
                                      <w:lang w:val="it-IT"/>
                                      <w14:textOutline w14:w="12700" w14:cap="flat">
                                        <w14:noFill/>
                                        <w14:miter w14:lim="400000"/>
                                      </w14:textOutline>
                                    </w:rPr>
                                    <w:t>).</w:t>
                                  </w:r>
                                </w:p>
                              </w:tc>
                            </w:tr>
                            <w:tr>
                              <w:tblPrEx>
                                <w:shd w:val="clear" w:color="auto" w:fill="cadfff"/>
                              </w:tblPrEx>
                              <w:trPr>
                                <w:trHeight w:val="31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62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20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20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Stanine</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Sense of Responsibility (SR)</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6.48</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3.39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Vigor (V)</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2.42</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2.48</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Stress Disorders (SD)</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3.77</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1.85</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Precision and Punctuality (PP)</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1.97</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Spare Time (ST)</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2.64</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1.99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Hyperactivity (H)</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5.41</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1.46</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Total</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27.84</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7.39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bl>
                        </w:txbxContent>
                      </wps:txbx>
                      <wps:bodyPr lIns="0" tIns="0" rIns="0" bIns="0">
                        <a:spAutoFit/>
                      </wps:bodyPr>
                    </wps:wsp>
                  </a:graphicData>
                </a:graphic>
              </wp:anchor>
            </w:drawing>
          </mc:Choice>
          <mc:Fallback>
            <w:pict>
              <v:shape id="_x0000_s1027" type="#_x0000_t202" style="visibility:visible;position:absolute;margin-left:43.5pt;margin-top:109.8pt;width:507.0pt;height:265.0pt;z-index:251661312;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090"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262"/>
                        <w:gridCol w:w="1629"/>
                        <w:gridCol w:w="2100"/>
                        <w:gridCol w:w="2099"/>
                      </w:tblGrid>
                      <w:tr>
                        <w:tblPrEx>
                          <w:shd w:val="clear" w:color="auto" w:fill="cadfff"/>
                        </w:tblPrEx>
                        <w:trPr>
                          <w:trHeight w:val="278" w:hRule="atLeast"/>
                        </w:trPr>
                        <w:tc>
                          <w:tcPr>
                            <w:tcW w:type="dxa" w:w="7991"/>
                            <w:gridSpan w:val="3"/>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b w:val="1"/>
                                <w:bCs w:val="1"/>
                                <w:sz w:val="24"/>
                                <w:szCs w:val="24"/>
                                <w:shd w:val="clear" w:color="auto" w:fill="ffffff"/>
                                <w:rtl w:val="0"/>
                                <w:lang w:val="fr-FR"/>
                                <w14:textOutline w14:w="12700" w14:cap="flat">
                                  <w14:noFill/>
                                  <w14:miter w14:lim="400000"/>
                                </w14:textOutline>
                              </w:rPr>
                              <w:t xml:space="preserve">Table </w:t>
                            </w:r>
                            <w:r>
                              <w:rPr>
                                <w:rFonts w:ascii="Garamond" w:hAnsi="Garamond"/>
                                <w:b w:val="1"/>
                                <w:bCs w:val="1"/>
                                <w:sz w:val="24"/>
                                <w:szCs w:val="24"/>
                                <w:shd w:val="clear" w:color="auto" w:fill="ffffff"/>
                                <w:rtl w:val="0"/>
                                <w:lang w:val="it-IT"/>
                                <w14:textOutline w14:w="12700" w14:cap="flat">
                                  <w14:noFill/>
                                  <w14:miter w14:lim="400000"/>
                                </w14:textOutline>
                              </w:rPr>
                              <w:t>2</w:t>
                            </w:r>
                          </w:p>
                        </w:tc>
                        <w:tc>
                          <w:tcPr>
                            <w:tcW w:type="dxa" w:w="2099"/>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tc>
                      </w:tr>
                      <w:tr>
                        <w:tblPrEx>
                          <w:shd w:val="clear" w:color="auto" w:fill="cadfff"/>
                        </w:tblPrEx>
                        <w:trPr>
                          <w:trHeight w:val="540" w:hRule="atLeast"/>
                        </w:trPr>
                        <w:tc>
                          <w:tcPr>
                            <w:tcW w:type="dxa" w:w="10090"/>
                            <w:gridSpan w:val="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shd w:val="clear" w:color="auto" w:fill="ffffff"/>
                                <w:rtl w:val="0"/>
                                <w:lang w:val="it-IT"/>
                                <w14:textOutline w14:w="12700" w14:cap="flat">
                                  <w14:noFill/>
                                  <w14:miter w14:lim="400000"/>
                                </w14:textOutline>
                              </w:rPr>
                              <w:t xml:space="preserve">Means and Standard deviations of the scores of the PSQ. On the right column stanine scores are reported (ranging </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from 1 to 9</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 s</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cores between 4 and 7 are considered average</w:t>
                            </w:r>
                            <w:r>
                              <w:rPr>
                                <w:rFonts w:ascii="Garamond" w:hAnsi="Garamond"/>
                                <w:sz w:val="24"/>
                                <w:szCs w:val="24"/>
                                <w:shd w:val="clear" w:color="auto" w:fill="ffffff"/>
                                <w:rtl w:val="0"/>
                                <w:lang w:val="it-IT"/>
                                <w14:textOutline w14:w="12700" w14:cap="flat">
                                  <w14:noFill/>
                                  <w14:miter w14:lim="400000"/>
                                </w14:textOutline>
                              </w:rPr>
                              <w:t>).</w:t>
                            </w:r>
                          </w:p>
                        </w:tc>
                      </w:tr>
                      <w:tr>
                        <w:tblPrEx>
                          <w:shd w:val="clear" w:color="auto" w:fill="cadfff"/>
                        </w:tblPrEx>
                        <w:trPr>
                          <w:trHeight w:val="31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162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Mean</w:t>
                            </w:r>
                          </w:p>
                        </w:tc>
                        <w:tc>
                          <w:tcPr>
                            <w:tcW w:type="dxa" w:w="20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SD</w:t>
                            </w:r>
                          </w:p>
                        </w:tc>
                        <w:tc>
                          <w:tcPr>
                            <w:tcW w:type="dxa" w:w="209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14:textOutline w14:w="12700" w14:cap="flat">
                                  <w14:noFill/>
                                  <w14:miter w14:lim="400000"/>
                                </w14:textOutline>
                                <w14:textFill>
                                  <w14:solidFill>
                                    <w14:srgbClr w14:val="000000"/>
                                  </w14:solidFill>
                                </w14:textFill>
                              </w:rPr>
                              <w:t>Stanine</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Sense of Responsibility (SR)</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6.48</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3.39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Vigor (V)</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2.42</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2.48</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Stress Disorders (SD)</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3.77</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1.85</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Precision and Punctuality (PP)</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4.09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1.97</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Spare Time (ST)</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2.64</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1.99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Hyperactivity (H)</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5.41</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1.46</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cadfff"/>
                        </w:tblPrEx>
                        <w:trPr>
                          <w:trHeight w:val="360" w:hRule="atLeast"/>
                        </w:trPr>
                        <w:tc>
                          <w:tcPr>
                            <w:tcW w:type="dxa" w:w="4262"/>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Total</w:t>
                            </w:r>
                          </w:p>
                        </w:tc>
                        <w:tc>
                          <w:tcPr>
                            <w:tcW w:type="dxa" w:w="162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27.84</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7.39</w:t>
                            </w:r>
                          </w:p>
                        </w:tc>
                        <w:tc>
                          <w:tcPr>
                            <w:tcW w:type="dxa" w:w="2099"/>
                            <w:tcBorders>
                              <w:top w:val="single" w:color="000000" w:sz="8" w:space="0" w:shadow="0" w:frame="0"/>
                              <w:left w:val="nil"/>
                              <w:bottom w:val="single" w:color="000000" w:sz="8" w:space="0" w:shadow="0" w:frame="0"/>
                              <w:right w:val="nil"/>
                            </w:tcBorders>
                            <w:shd w:val="clear" w:color="auto" w:fill="ffffff"/>
                            <w:tcMar>
                              <w:top w:type="dxa" w:w="0"/>
                              <w:left w:type="dxa" w:w="100"/>
                              <w:bottom w:type="dxa" w:w="0"/>
                              <w:right w:type="dxa" w:w="10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bl>
                  </w:txbxContent>
                </v:textbox>
                <w10:wrap type="topAndBottom" side="bothSides" anchorx="page" anchory="page"/>
              </v:shape>
            </w:pict>
          </mc:Fallback>
        </mc:AlternateContent>
      </w:r>
      <w:r>
        <w:rPr>
          <w:rFonts w:ascii="Garamond" w:hAnsi="Garamond"/>
          <w:sz w:val="24"/>
          <w:szCs w:val="24"/>
          <w:rtl w:val="0"/>
          <w:lang w:val="en-US"/>
        </w:rPr>
        <w:t>om the interpersonal-social point of view. For instance, these people have a low level of self-confidence which can make them dependent and lead to affiliate in social contexts (factor Q2). In addition, these people tend to be cautious (factor N) and socially inhibited (factor H) and their behavior is characterized by high levels of alertness and suspiciousness (factor L) as well as confidentiality and detachment (factor A)</w:t>
      </w:r>
      <w:r>
        <w:rPr>
          <w:rFonts w:ascii="Garamond" w:hAnsi="Garamond"/>
          <w:sz w:val="24"/>
          <w:szCs w:val="24"/>
          <w:rtl w:val="0"/>
          <w:lang w:val="fr-FR"/>
        </w:rPr>
        <w:t xml:space="preserve"> (Table 3) (Figure 1).</w:t>
      </w: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mc:AlternateContent>
          <mc:Choice Requires="wps">
            <w:drawing xmlns:a="http://schemas.openxmlformats.org/drawingml/2006/main">
              <wp:anchor distT="0" distB="0" distL="0" distR="0" simplePos="0" relativeHeight="251662336" behindDoc="0" locked="0" layoutInCell="1" allowOverlap="1">
                <wp:simplePos x="0" y="0"/>
                <wp:positionH relativeFrom="page">
                  <wp:posOffset>739139</wp:posOffset>
                </wp:positionH>
                <wp:positionV relativeFrom="page">
                  <wp:posOffset>728556</wp:posOffset>
                </wp:positionV>
                <wp:extent cx="6134100" cy="6159500"/>
                <wp:effectExtent l="0" t="0" r="0" b="0"/>
                <wp:wrapTopAndBottom distT="0" distB="0"/>
                <wp:docPr id="1073741828" name="officeArt object"/>
                <wp:cNvGraphicFramePr/>
                <a:graphic xmlns:a="http://schemas.openxmlformats.org/drawingml/2006/main">
                  <a:graphicData uri="http://schemas.microsoft.com/office/word/2010/wordprocessingShape">
                    <wps:wsp>
                      <wps:cNvSpPr/>
                      <wps:spPr>
                        <a:xfrm>
                          <a:off x="0" y="0"/>
                          <a:ext cx="6134100" cy="6159500"/>
                        </a:xfrm>
                        <a:prstGeom prst="rect">
                          <a:avLst/>
                        </a:prstGeom>
                      </wps:spPr>
                      <wps:txbx>
                        <w:txbxContent>
                          <w:tbl>
                            <w:tblPr>
                              <w:tblW w:w="9602"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76"/>
                              <w:gridCol w:w="2710"/>
                              <w:gridCol w:w="1988"/>
                              <w:gridCol w:w="1928"/>
                            </w:tblGrid>
                            <w:tr>
                              <w:tblPrEx>
                                <w:shd w:val="clear" w:color="auto" w:fill="4f81bd"/>
                              </w:tblPrEx>
                              <w:trPr>
                                <w:trHeight w:val="320" w:hRule="atLeast"/>
                                <w:tblHeader/>
                              </w:trPr>
                              <w:tc>
                                <w:tcPr>
                                  <w:tcW w:type="dxa" w:w="9602"/>
                                  <w:gridSpan w:val="4"/>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3</w:t>
                                  </w:r>
                                </w:p>
                              </w:tc>
                            </w:tr>
                            <w:tr>
                              <w:tblPrEx>
                                <w:shd w:val="clear" w:color="auto" w:fill="4f81bd"/>
                              </w:tblPrEx>
                              <w:trPr>
                                <w:trHeight w:val="800" w:hRule="atLeast"/>
                                <w:tblHeader/>
                              </w:trPr>
                              <w:tc>
                                <w:tcPr>
                                  <w:tcW w:type="dxa" w:w="9602"/>
                                  <w:gridSpan w:val="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shd w:val="clear" w:color="auto" w:fill="ffffff"/>
                                      <w:rtl w:val="0"/>
                                      <w:lang w:val="it-IT"/>
                                      <w14:textOutline w14:w="12700" w14:cap="flat">
                                        <w14:noFill/>
                                        <w14:miter w14:lim="400000"/>
                                      </w14:textOutline>
                                    </w:rPr>
                                    <w:t xml:space="preserve">Means and Standard deviations of the scores of the sub-scales of the 16-PF factors. On the right column stanine scores are reported (ranging </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from 1 to 9</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 s</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cores between 4 and 7 are considered average</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w:t>
                                  </w:r>
                                </w:p>
                              </w:tc>
                            </w:tr>
                            <w:tr>
                              <w:tblPrEx>
                                <w:shd w:val="clear" w:color="auto" w:fill="4f81bd"/>
                              </w:tblPrEx>
                              <w:trPr>
                                <w:trHeight w:val="300" w:hRule="atLeast"/>
                                <w:tblHeader/>
                              </w:trPr>
                              <w:tc>
                                <w:tcPr>
                                  <w:tcW w:type="dxa" w:w="2976"/>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70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shd w:val="clear" w:color="auto" w:fill="ffffff"/>
                                      <w:rtl w:val="0"/>
                                      <w14:textOutline w14:w="12700" w14:cap="flat">
                                        <w14:noFill/>
                                        <w14:miter w14:lim="400000"/>
                                      </w14:textOutline>
                                    </w:rPr>
                                    <w:t>Mean</w:t>
                                  </w:r>
                                </w:p>
                              </w:tc>
                              <w:tc>
                                <w:tcPr>
                                  <w:tcW w:type="dxa" w:w="198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SD</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Stanine</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left"/>
                                  </w:pPr>
                                  <w:r>
                                    <w:rPr>
                                      <w:rFonts w:ascii="Garamond" w:hAnsi="Garamond"/>
                                      <w:u w:color="000000"/>
                                      <w:rtl w:val="0"/>
                                    </w:rPr>
                                    <w:t>Validity Scale (IM)</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5.44</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2.23</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2</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Expansiveness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(A)</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5.90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2.72</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Reasoning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(B)</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5.14</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1.44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Emotional stability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(C)</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6.56</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2.45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Dominance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(E)</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5.50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1.94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5</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Vivacity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(F)</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6.97</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2.66</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5</w:t>
                                  </w:r>
                                </w:p>
                              </w:tc>
                            </w:tr>
                            <w:tr>
                              <w:tblPrEx>
                                <w:shd w:val="clear" w:color="auto" w:fill="ced7e7"/>
                              </w:tblPrEx>
                              <w:trPr>
                                <w:trHeight w:val="304"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Conscientiousness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(G)</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7.13</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304"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Social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udacity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(H)</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5.79</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Sensitivity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(I)</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6.50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2.08</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7</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Vigilance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(L)</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7.51</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7</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Abstractness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(M)</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7.79</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1.83</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Prudence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(N)</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6.22</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Apprehensiveness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(O)</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Openness to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hange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(Q1)</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6.22</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Self-confidence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(Q2)</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6.30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1.9</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2</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Perfectionism</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(Q3)</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6.95</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2.28</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Tension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(Q4)</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6.03</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2.47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8</w:t>
                                  </w:r>
                                </w:p>
                              </w:tc>
                            </w:tr>
                          </w:tbl>
                        </w:txbxContent>
                      </wps:txbx>
                      <wps:bodyPr lIns="0" tIns="0" rIns="0" bIns="0">
                        <a:spAutoFit/>
                      </wps:bodyPr>
                    </wps:wsp>
                  </a:graphicData>
                </a:graphic>
              </wp:anchor>
            </w:drawing>
          </mc:Choice>
          <mc:Fallback>
            <w:pict>
              <v:shape id="_x0000_s1028" type="#_x0000_t202" style="visibility:visible;position:absolute;margin-left:58.2pt;margin-top:57.4pt;width:483.0pt;height:485.0pt;z-index:251662336;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9602"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76"/>
                        <w:gridCol w:w="2710"/>
                        <w:gridCol w:w="1988"/>
                        <w:gridCol w:w="1928"/>
                      </w:tblGrid>
                      <w:tr>
                        <w:tblPrEx>
                          <w:shd w:val="clear" w:color="auto" w:fill="4f81bd"/>
                        </w:tblPrEx>
                        <w:trPr>
                          <w:trHeight w:val="320" w:hRule="atLeast"/>
                          <w:tblHeader/>
                        </w:trPr>
                        <w:tc>
                          <w:tcPr>
                            <w:tcW w:type="dxa" w:w="9602"/>
                            <w:gridSpan w:val="4"/>
                            <w:tcBorders>
                              <w:top w:val="nil"/>
                              <w:left w:val="nil"/>
                              <w:bottom w:val="single" w:color="000000" w:sz="8" w:space="0" w:shadow="0" w:frame="0"/>
                              <w:right w:val="nil"/>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3</w:t>
                            </w:r>
                          </w:p>
                        </w:tc>
                      </w:tr>
                      <w:tr>
                        <w:tblPrEx>
                          <w:shd w:val="clear" w:color="auto" w:fill="4f81bd"/>
                        </w:tblPrEx>
                        <w:trPr>
                          <w:trHeight w:val="800" w:hRule="atLeast"/>
                          <w:tblHeader/>
                        </w:trPr>
                        <w:tc>
                          <w:tcPr>
                            <w:tcW w:type="dxa" w:w="9602"/>
                            <w:gridSpan w:val="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shd w:val="clear" w:color="auto" w:fill="ffffff"/>
                                <w:rtl w:val="0"/>
                                <w:lang w:val="it-IT"/>
                                <w14:textOutline w14:w="12700" w14:cap="flat">
                                  <w14:noFill/>
                                  <w14:miter w14:lim="400000"/>
                                </w14:textOutline>
                              </w:rPr>
                              <w:t xml:space="preserve">Means and Standard deviations of the scores of the sub-scales of the 16-PF factors. On the right column stanine scores are reported (ranging </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from 1 to 9</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 s</w:t>
                            </w:r>
                            <w:r>
                              <w:rPr>
                                <w:rFonts w:ascii="Garamond" w:hAnsi="Garamond"/>
                                <w:outline w:val="0"/>
                                <w:color w:val="00000a"/>
                                <w:sz w:val="24"/>
                                <w:szCs w:val="24"/>
                                <w:u w:color="00000a"/>
                                <w:rtl w:val="0"/>
                                <w:lang w:val="en-US"/>
                                <w14:textOutline w14:w="12700" w14:cap="flat">
                                  <w14:noFill/>
                                  <w14:miter w14:lim="400000"/>
                                </w14:textOutline>
                                <w14:textFill>
                                  <w14:solidFill>
                                    <w14:srgbClr w14:val="00000A"/>
                                  </w14:solidFill>
                                </w14:textFill>
                              </w:rPr>
                              <w:t>cores between 4 and 7 are considered average</w:t>
                            </w:r>
                            <w:r>
                              <w:rPr>
                                <w:rFonts w:ascii="Garamond" w:hAnsi="Garamond"/>
                                <w:outline w:val="0"/>
                                <w:color w:val="00000a"/>
                                <w:sz w:val="24"/>
                                <w:szCs w:val="24"/>
                                <w:u w:color="00000a"/>
                                <w:rtl w:val="0"/>
                                <w:lang w:val="it-IT"/>
                                <w14:textOutline w14:w="12700" w14:cap="flat">
                                  <w14:noFill/>
                                  <w14:miter w14:lim="400000"/>
                                </w14:textOutline>
                                <w14:textFill>
                                  <w14:solidFill>
                                    <w14:srgbClr w14:val="00000A"/>
                                  </w14:solidFill>
                                </w14:textFill>
                              </w:rPr>
                              <w:t>).</w:t>
                            </w:r>
                          </w:p>
                        </w:tc>
                      </w:tr>
                      <w:tr>
                        <w:tblPrEx>
                          <w:shd w:val="clear" w:color="auto" w:fill="4f81bd"/>
                        </w:tblPrEx>
                        <w:trPr>
                          <w:trHeight w:val="300" w:hRule="atLeast"/>
                          <w:tblHeader/>
                        </w:trPr>
                        <w:tc>
                          <w:tcPr>
                            <w:tcW w:type="dxa" w:w="2976"/>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tc>
                        <w:tc>
                          <w:tcPr>
                            <w:tcW w:type="dxa" w:w="2709"/>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shd w:val="clear" w:color="auto" w:fill="ffffff"/>
                                <w:rtl w:val="0"/>
                                <w14:textOutline w14:w="12700" w14:cap="flat">
                                  <w14:noFill/>
                                  <w14:miter w14:lim="400000"/>
                                </w14:textOutline>
                              </w:rPr>
                              <w:t>Mean</w:t>
                            </w:r>
                          </w:p>
                        </w:tc>
                        <w:tc>
                          <w:tcPr>
                            <w:tcW w:type="dxa" w:w="1988"/>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SD</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Stanine</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left"/>
                            </w:pPr>
                            <w:r>
                              <w:rPr>
                                <w:rFonts w:ascii="Garamond" w:hAnsi="Garamond"/>
                                <w:u w:color="000000"/>
                                <w:rtl w:val="0"/>
                              </w:rPr>
                              <w:t>Validity Scale (IM)</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5.44</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2.23</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2</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Expansiveness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(A)</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5.90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2.72</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Reasoning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(B)</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5.14</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1.44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Emotional stability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(C)</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6.56</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2.45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Dominance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(E)</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5.50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1.94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5</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Vivacity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(F)</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6.97</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2.66</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5</w:t>
                            </w:r>
                          </w:p>
                        </w:tc>
                      </w:tr>
                      <w:tr>
                        <w:tblPrEx>
                          <w:shd w:val="clear" w:color="auto" w:fill="ced7e7"/>
                        </w:tblPrEx>
                        <w:trPr>
                          <w:trHeight w:val="304"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Conscientiousness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(G)</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7.13</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304"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Social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udacity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(H)</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5.79</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2.24</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Sensitivity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(I)</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6.50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2.08</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7</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Vigilance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(L)</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7.51</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7</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Abstractness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(M)</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7.79</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1.83</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Prudence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(N)</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6.22</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Apprehensiveness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(O)</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6</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Openness to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hange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(Q1)</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6.22</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2.05</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4</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Self-confidence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(Q2)</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6.30</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1.9</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2</w:t>
                            </w:r>
                          </w:p>
                        </w:tc>
                      </w:tr>
                      <w:tr>
                        <w:tblPrEx>
                          <w:shd w:val="clear" w:color="auto" w:fill="ced7e7"/>
                        </w:tblPrEx>
                        <w:trPr>
                          <w:trHeight w:val="29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Perfectionism</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(Q3)</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6.95</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2.28</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3</w:t>
                            </w:r>
                          </w:p>
                        </w:tc>
                      </w:tr>
                      <w:tr>
                        <w:tblPrEx>
                          <w:shd w:val="clear" w:color="auto" w:fill="ced7e7"/>
                        </w:tblPrEx>
                        <w:trPr>
                          <w:trHeight w:val="310" w:hRule="atLeast"/>
                        </w:trPr>
                        <w:tc>
                          <w:tcPr>
                            <w:tcW w:type="dxa" w:w="297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Tension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(Q4)</w:t>
                            </w:r>
                          </w:p>
                        </w:tc>
                        <w:tc>
                          <w:tcPr>
                            <w:tcW w:type="dxa" w:w="2709"/>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6.03</w:t>
                            </w:r>
                          </w:p>
                        </w:tc>
                        <w:tc>
                          <w:tcPr>
                            <w:tcW w:type="dxa" w:w="1988"/>
                            <w:tcBorders>
                              <w:top w:val="single" w:color="000000" w:sz="8" w:space="0" w:shadow="0" w:frame="0"/>
                              <w:left w:val="single" w:color="ffffff" w:sz="8" w:space="0" w:shadow="0" w:frame="0"/>
                              <w:bottom w:val="single" w:color="000000" w:sz="8" w:space="0" w:shadow="0" w:frame="0"/>
                              <w:right w:val="nil"/>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rtl w:val="0"/>
                                <w14:textOutline w14:w="12700" w14:cap="flat">
                                  <w14:noFill/>
                                  <w14:miter w14:lim="400000"/>
                                </w14:textOutline>
                              </w:rPr>
                              <w:t>2.47</w:t>
                            </w:r>
                          </w:p>
                        </w:tc>
                        <w:tc>
                          <w:tcPr>
                            <w:tcW w:type="dxa" w:w="1927"/>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Di default"/>
                              <w:tabs>
                                <w:tab w:val="left" w:pos="708"/>
                                <w:tab w:val="left" w:pos="1416"/>
                              </w:tabs>
                              <w:spacing w:before="0" w:line="240" w:lineRule="auto"/>
                              <w:jc w:val="center"/>
                            </w:pPr>
                            <w:r>
                              <w:rPr>
                                <w:rFonts w:ascii="Garamond" w:hAnsi="Garamond"/>
                                <w:u w:color="000000"/>
                                <w:rtl w:val="0"/>
                              </w:rPr>
                              <w:t>8</w:t>
                            </w:r>
                          </w:p>
                        </w:tc>
                      </w:tr>
                    </w:tbl>
                  </w:txbxContent>
                </v:textbox>
                <w10:wrap type="topAndBottom" side="bothSides" anchorx="page" anchory="page"/>
              </v:shape>
            </w:pict>
          </mc:Fallback>
        </mc:AlternateContent>
      </w: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page">
              <wp:posOffset>899794</wp:posOffset>
            </wp:positionV>
            <wp:extent cx="6116321" cy="1868395"/>
            <wp:effectExtent l="0" t="0" r="0" b="0"/>
            <wp:wrapThrough wrapText="bothSides" distL="152400" distR="152400">
              <wp:wrapPolygon edited="1">
                <wp:start x="0" y="0"/>
                <wp:lineTo x="21600" y="0"/>
                <wp:lineTo x="21600" y="21613"/>
                <wp:lineTo x="0" y="21613"/>
                <wp:lineTo x="0" y="0"/>
              </wp:wrapPolygon>
            </wp:wrapThrough>
            <wp:docPr id="1073741829" name="officeArt object" descr="Immagine"/>
            <wp:cNvGraphicFramePr/>
            <a:graphic xmlns:a="http://schemas.openxmlformats.org/drawingml/2006/main">
              <a:graphicData uri="http://schemas.openxmlformats.org/drawingml/2006/picture">
                <pic:pic xmlns:pic="http://schemas.openxmlformats.org/drawingml/2006/picture">
                  <pic:nvPicPr>
                    <pic:cNvPr id="1073741829" name="Immagine" descr="Immagine"/>
                    <pic:cNvPicPr>
                      <a:picLocks noChangeAspect="1"/>
                    </pic:cNvPicPr>
                  </pic:nvPicPr>
                  <pic:blipFill>
                    <a:blip r:embed="rId4">
                      <a:extLst/>
                    </a:blip>
                    <a:stretch>
                      <a:fillRect/>
                    </a:stretch>
                  </pic:blipFill>
                  <pic:spPr>
                    <a:xfrm>
                      <a:off x="0" y="0"/>
                      <a:ext cx="6116321" cy="1868395"/>
                    </a:xfrm>
                    <a:prstGeom prst="rect">
                      <a:avLst/>
                    </a:prstGeom>
                    <a:ln w="12700" cap="flat">
                      <a:noFill/>
                      <a:miter lim="400000"/>
                    </a:ln>
                    <a:effectLst/>
                  </pic:spPr>
                </pic:pic>
              </a:graphicData>
            </a:graphic>
          </wp:anchor>
        </w:drawing>
      </w:r>
    </w:p>
    <w:p>
      <w:pPr>
        <w:keepNext w:val="0"/>
        <w:keepLines w:val="0"/>
        <w:pageBreakBefore w:val="0"/>
        <w:widowControl w:val="0"/>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0" w:line="240" w:lineRule="auto"/>
        <w:ind w:left="0" w:right="0" w:firstLine="0"/>
        <w:jc w:val="both"/>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en-US"/>
          <w14:textOutline>
            <w14:noFill/>
          </w14:textOutline>
          <w14:textFill>
            <w14:solidFill>
              <w14:srgbClr w14:val="00000A"/>
            </w14:solidFill>
          </w14:textFill>
        </w:rPr>
        <w:t xml:space="preserve">Figure </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it-IT"/>
          <w14:textOutline>
            <w14:noFill/>
          </w14:textOutline>
          <w14:textFill>
            <w14:solidFill>
              <w14:srgbClr w14:val="00000A"/>
            </w14:solidFill>
          </w14:textFill>
        </w:rPr>
        <w:t>1</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en-US"/>
          <w14:textOutline>
            <w14:noFill/>
          </w14:textOutline>
          <w14:textFill>
            <w14:solidFill>
              <w14:srgbClr w14:val="00000A"/>
            </w14:solidFill>
          </w14:textFill>
        </w:rPr>
        <w:t xml:space="preserve">. </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it-IT"/>
          <w14:textOutline>
            <w14:noFill/>
          </w14:textOutline>
          <w14:textFill>
            <w14:solidFill>
              <w14:srgbClr w14:val="00000A"/>
            </w14:solidFill>
          </w14:textFill>
        </w:rPr>
        <w:t xml:space="preserve">Representation of the mean scores of the </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en-US"/>
          <w14:textOutline>
            <w14:noFill/>
          </w14:textOutline>
          <w14:textFill>
            <w14:solidFill>
              <w14:srgbClr w14:val="00000A"/>
            </w14:solidFill>
          </w14:textFill>
        </w:rPr>
        <w:t xml:space="preserve">16-PF </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it-IT"/>
          <w14:textOutline>
            <w14:noFill/>
          </w14:textOutline>
          <w14:textFill>
            <w14:solidFill>
              <w14:srgbClr w14:val="00000A"/>
            </w14:solidFill>
          </w14:textFill>
        </w:rPr>
        <w:t xml:space="preserve">of the sample in a </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en-US"/>
          <w14:textOutline>
            <w14:noFill/>
          </w14:textOutline>
          <w14:textFill>
            <w14:solidFill>
              <w14:srgbClr w14:val="00000A"/>
            </w14:solidFill>
          </w14:textFill>
        </w:rPr>
        <w:t>standard-nine scale, ranging from 1 to 9.</w:t>
      </w:r>
      <w:r>
        <w:rPr>
          <w:rFonts w:ascii="Garamond" w:cs="Arial Unicode MS" w:hAnsi="Garamond" w:eastAsia="Arial Unicode MS"/>
          <w:b w:val="0"/>
          <w:bCs w:val="0"/>
          <w:i w:val="0"/>
          <w:iCs w:val="0"/>
          <w:caps w:val="0"/>
          <w:smallCaps w:val="0"/>
          <w:strike w:val="0"/>
          <w:dstrike w:val="0"/>
          <w:outline w:val="0"/>
          <w:color w:val="00000a"/>
          <w:spacing w:val="0"/>
          <w:kern w:val="0"/>
          <w:position w:val="0"/>
          <w:sz w:val="20"/>
          <w:szCs w:val="20"/>
          <w:u w:val="none" w:color="00000a"/>
          <w:shd w:val="nil" w:color="auto" w:fill="auto"/>
          <w:vertAlign w:val="baseline"/>
          <w:rtl w:val="0"/>
          <w:lang w:val="it-IT"/>
          <w14:textOutline>
            <w14:noFill/>
          </w14:textOutline>
          <w14:textFill>
            <w14:solidFill>
              <w14:srgbClr w14:val="00000A"/>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The 16 dimensions identified</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in addition to the validity scale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(IM),</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are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A=Expansiveness; B=Reasoning; C=Emotional stability; E=Dominance; F=Vivacity; G=Conscientiousness; H=Social audacity; I=Sensitivity; L=Vigilance; M=Abstractness; N=Prudence; O=Apprehensiveness; Q1=Openness to change; Q2=Self-confidence; Q3=Perfectionism; Q4=Tension.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Scores between 4 and 7 are considered average.</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 xml:space="preserve">With this in mind, it also emerged that there are some clinically significant associations between stable personality traits (16-PF) and the lifestyles and behaviors usually adopted (PSQ) (Table 4). </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The Pearson</w:t>
      </w:r>
      <w:r>
        <w:rPr>
          <w:rFonts w:ascii="Garamond" w:hAnsi="Garamond" w:hint="default"/>
          <w:sz w:val="24"/>
          <w:szCs w:val="24"/>
          <w:rtl w:val="0"/>
          <w:lang w:val="en-US"/>
        </w:rPr>
        <w:t>’</w:t>
      </w:r>
      <w:r>
        <w:rPr>
          <w:rFonts w:ascii="Garamond" w:hAnsi="Garamond"/>
          <w:sz w:val="24"/>
          <w:szCs w:val="24"/>
          <w:rtl w:val="0"/>
          <w:lang w:val="en-US"/>
        </w:rPr>
        <w:t>s correlation made between 16-PF and PSQ highlighted aspects worthy of note. The Sense of Responsibility (SR) investigated with the PSQ appears to be correlated with the factors G (Conscientiousness), M (Abstractness), and Q3 (Perfectionism). Observing the Vigor sub-scale of PSQ, it emerges that there is a similar trend to the scales of Dominance (factor E), Vivacity (factor F), Social Audacity (factor H), Openness to Change (factor Q1), and Perfectionism (factor Q3). As regards the Somatic Complaints investigated by the PSQ, an inverse relationship emerges with the degree of Expansiveness (factor A), the Reasoning skills (factor B), the Emotional Stability (factor C), and the Perfectionism (factor Q3). Instead, a positive relationship between somatizations and somatic tension (factor Q4) can be observed. The Precision and Punctuality (PP) sub-scale is associated with only two personality factors. PP correlates positively with the trend towards strict compliance with the rules (factor G) and correlates negatively with factor I, indicating a preference towards the adoption of a concrete problem solving. Observing the Spare Time (ST) sub-scale, a single correlation emerges with the Vigilance scale, highlighting that higher levels of alertness correspond to difficulties in "detaching" from commitments, and vice versa. The PSQ Hyperactivity (H) scale is associated with different dimensions of personality. In particular, subjects with a high level of activity are lively (positive correlation with factor F) and sensitive (factor I), respectful of social norms and rules (positive correlation with factor G), yet are also prudent in social contexts (positive correlation with factor N) and prone to being thorough, diligent, and stubborn (factor Q3). Finally, the total score of the PSQ correlates positively with the scales of Dominance (factor E), Conscientiousness (factor G), Prudence (factor N), Perfectionism (factorQ3), and Tension (factorQ4) and negatively with the Reasoning (factor B) and Emotional Stability (factor C) scales.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mc:AlternateContent>
          <mc:Choice Requires="wps">
            <w:drawing xmlns:a="http://schemas.openxmlformats.org/drawingml/2006/main">
              <wp:anchor distT="0" distB="0" distL="0" distR="0" simplePos="0" relativeHeight="251663360" behindDoc="0" locked="0" layoutInCell="1" allowOverlap="1">
                <wp:simplePos x="0" y="0"/>
                <wp:positionH relativeFrom="page">
                  <wp:posOffset>720090</wp:posOffset>
                </wp:positionH>
                <wp:positionV relativeFrom="page">
                  <wp:posOffset>3046564</wp:posOffset>
                </wp:positionV>
                <wp:extent cx="6438900" cy="6311900"/>
                <wp:effectExtent l="0" t="0" r="0" b="0"/>
                <wp:wrapTopAndBottom distT="0" distB="0"/>
                <wp:docPr id="1073741830" name="officeArt object"/>
                <wp:cNvGraphicFramePr/>
                <a:graphic xmlns:a="http://schemas.openxmlformats.org/drawingml/2006/main">
                  <a:graphicData uri="http://schemas.microsoft.com/office/word/2010/wordprocessingShape">
                    <wps:wsp>
                      <wps:cNvSpPr/>
                      <wps:spPr>
                        <a:xfrm>
                          <a:off x="0" y="0"/>
                          <a:ext cx="6438900" cy="6311900"/>
                        </a:xfrm>
                        <a:prstGeom prst="rect">
                          <a:avLst/>
                        </a:prstGeom>
                      </wps:spPr>
                      <wps:txbx>
                        <w:txbxContent>
                          <w:tbl>
                            <w:tblPr>
                              <w:tblW w:w="10093"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624"/>
                              <w:gridCol w:w="1502"/>
                              <w:gridCol w:w="911"/>
                              <w:gridCol w:w="1119"/>
                              <w:gridCol w:w="1256"/>
                              <w:gridCol w:w="847"/>
                              <w:gridCol w:w="974"/>
                              <w:gridCol w:w="860"/>
                            </w:tblGrid>
                            <w:tr>
                              <w:tblPrEx>
                                <w:shd w:val="clear" w:color="auto" w:fill="4f81bd"/>
                              </w:tblPrEx>
                              <w:trPr>
                                <w:trHeight w:val="320" w:hRule="atLeast"/>
                                <w:tblHeader/>
                              </w:trPr>
                              <w:tc>
                                <w:tcPr>
                                  <w:tcW w:type="dxa" w:w="6156"/>
                                  <w:gridSpan w:val="4"/>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4</w:t>
                                  </w:r>
                                </w:p>
                              </w:tc>
                              <w:tc>
                                <w:tcPr>
                                  <w:tcW w:type="dxa" w:w="1256"/>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46"/>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974"/>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59"/>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540" w:hRule="atLeast"/>
                                <w:tblHeader/>
                              </w:trPr>
                              <w:tc>
                                <w:tcPr>
                                  <w:tcW w:type="dxa" w:w="10093"/>
                                  <w:gridSpan w:val="8"/>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u w:color="00000a"/>
                                      <w:rtl w:val="0"/>
                                      <w:lang w:val="it-IT"/>
                                      <w14:textOutline w14:w="12700" w14:cap="flat">
                                        <w14:noFill/>
                                        <w14:miter w14:lim="400000"/>
                                      </w14:textOutline>
                                    </w:rPr>
                                    <w:t>Pearson</w:t>
                                  </w:r>
                                  <w:r>
                                    <w:rPr>
                                      <w:rFonts w:ascii="Garamond" w:hAnsi="Garamond"/>
                                      <w:sz w:val="24"/>
                                      <w:szCs w:val="24"/>
                                      <w:u w:color="00000a"/>
                                      <w:rtl w:val="0"/>
                                      <w:lang w:val="en-US"/>
                                      <w14:textOutline w14:w="12700" w14:cap="flat">
                                        <w14:noFill/>
                                        <w14:miter w14:lim="400000"/>
                                      </w14:textOutline>
                                    </w:rPr>
                                    <w:t xml:space="preserve"> correlation analysis between </w:t>
                                  </w:r>
                                  <w:r>
                                    <w:rPr>
                                      <w:rFonts w:ascii="Garamond" w:hAnsi="Garamond"/>
                                      <w:sz w:val="24"/>
                                      <w:szCs w:val="24"/>
                                      <w:u w:color="00000a"/>
                                      <w:rtl w:val="0"/>
                                      <w:lang w:val="it-IT"/>
                                      <w14:textOutline w14:w="12700" w14:cap="flat">
                                        <w14:noFill/>
                                        <w14:miter w14:lim="400000"/>
                                      </w14:textOutline>
                                    </w:rPr>
                                    <w:t>the 16 P</w:t>
                                  </w:r>
                                  <w:r>
                                    <w:rPr>
                                      <w:rFonts w:ascii="Garamond" w:hAnsi="Garamond"/>
                                      <w:sz w:val="24"/>
                                      <w:szCs w:val="24"/>
                                      <w:u w:color="00000a"/>
                                      <w:rtl w:val="0"/>
                                      <w:lang w:val="en-US"/>
                                      <w14:textOutline w14:w="12700" w14:cap="flat">
                                        <w14:noFill/>
                                        <w14:miter w14:lim="400000"/>
                                      </w14:textOutline>
                                    </w:rPr>
                                    <w:t xml:space="preserve">ersonality </w:t>
                                  </w:r>
                                  <w:r>
                                    <w:rPr>
                                      <w:rFonts w:ascii="Garamond" w:hAnsi="Garamond"/>
                                      <w:sz w:val="24"/>
                                      <w:szCs w:val="24"/>
                                      <w:u w:color="00000a"/>
                                      <w:rtl w:val="0"/>
                                      <w:lang w:val="it-IT"/>
                                      <w14:textOutline w14:w="12700" w14:cap="flat">
                                        <w14:noFill/>
                                        <w14:miter w14:lim="400000"/>
                                      </w14:textOutline>
                                    </w:rPr>
                                    <w:t>Factors</w:t>
                                  </w:r>
                                  <w:r>
                                    <w:rPr>
                                      <w:rFonts w:ascii="Garamond" w:hAnsi="Garamond"/>
                                      <w:sz w:val="24"/>
                                      <w:szCs w:val="24"/>
                                      <w:u w:color="00000a"/>
                                      <w:rtl w:val="0"/>
                                      <w:lang w:val="en-US"/>
                                      <w14:textOutline w14:w="12700" w14:cap="flat">
                                        <w14:noFill/>
                                        <w14:miter w14:lim="400000"/>
                                      </w14:textOutline>
                                    </w:rPr>
                                    <w:t xml:space="preserve"> (</w:t>
                                  </w:r>
                                  <w:r>
                                    <w:rPr>
                                      <w:rFonts w:ascii="Garamond" w:hAnsi="Garamond"/>
                                      <w:sz w:val="24"/>
                                      <w:szCs w:val="24"/>
                                      <w:u w:color="00000a"/>
                                      <w:rtl w:val="0"/>
                                      <w:lang w:val="it-IT"/>
                                      <w14:textOutline w14:w="12700" w14:cap="flat">
                                        <w14:noFill/>
                                        <w14:miter w14:lim="400000"/>
                                      </w14:textOutline>
                                    </w:rPr>
                                    <w:t>on the left</w:t>
                                  </w:r>
                                  <w:r>
                                    <w:rPr>
                                      <w:rFonts w:ascii="Garamond" w:hAnsi="Garamond"/>
                                      <w:sz w:val="24"/>
                                      <w:szCs w:val="24"/>
                                      <w:u w:color="00000a"/>
                                      <w:rtl w:val="0"/>
                                      <w:lang w:val="en-US"/>
                                      <w14:textOutline w14:w="12700" w14:cap="flat">
                                        <w14:noFill/>
                                        <w14:miter w14:lim="400000"/>
                                      </w14:textOutline>
                                    </w:rPr>
                                    <w:t xml:space="preserve">), and </w:t>
                                  </w:r>
                                  <w:r>
                                    <w:rPr>
                                      <w:rFonts w:ascii="Garamond" w:hAnsi="Garamond"/>
                                      <w:sz w:val="24"/>
                                      <w:szCs w:val="24"/>
                                      <w:u w:color="00000a"/>
                                      <w:rtl w:val="0"/>
                                      <w:lang w:val="it-IT"/>
                                      <w14:textOutline w14:w="12700" w14:cap="flat">
                                        <w14:noFill/>
                                        <w14:miter w14:lim="400000"/>
                                      </w14:textOutline>
                                    </w:rPr>
                                    <w:t>P Stress Questionnaire</w:t>
                                  </w:r>
                                  <w:r>
                                    <w:rPr>
                                      <w:rFonts w:ascii="Garamond" w:hAnsi="Garamond"/>
                                      <w:sz w:val="24"/>
                                      <w:szCs w:val="24"/>
                                      <w:u w:color="00000a"/>
                                      <w:rtl w:val="0"/>
                                      <w:lang w:val="en-US"/>
                                      <w14:textOutline w14:w="12700" w14:cap="flat">
                                        <w14:noFill/>
                                        <w14:miter w14:lim="400000"/>
                                      </w14:textOutline>
                                    </w:rPr>
                                    <w:t xml:space="preserve"> (</w:t>
                                  </w:r>
                                  <w:r>
                                    <w:rPr>
                                      <w:rFonts w:ascii="Garamond" w:hAnsi="Garamond"/>
                                      <w:sz w:val="24"/>
                                      <w:szCs w:val="24"/>
                                      <w:u w:color="00000a"/>
                                      <w:rtl w:val="0"/>
                                      <w:lang w:val="it-IT"/>
                                      <w14:textOutline w14:w="12700" w14:cap="flat">
                                        <w14:noFill/>
                                        <w14:miter w14:lim="400000"/>
                                      </w14:textOutline>
                                    </w:rPr>
                                    <w:t>above</w:t>
                                  </w:r>
                                  <w:r>
                                    <w:rPr>
                                      <w:rFonts w:ascii="Garamond" w:hAnsi="Garamond"/>
                                      <w:sz w:val="24"/>
                                      <w:szCs w:val="24"/>
                                      <w:u w:color="00000a"/>
                                      <w:rtl w:val="0"/>
                                      <w:lang w:val="en-US"/>
                                      <w14:textOutline w14:w="12700" w14:cap="flat">
                                        <w14:noFill/>
                                        <w14:miter w14:lim="400000"/>
                                      </w14:textOutline>
                                    </w:rPr>
                                    <w:t>) (*=</w:t>
                                  </w:r>
                                  <w:r>
                                    <w:rPr>
                                      <w:rFonts w:ascii="Garamond" w:hAnsi="Garamond"/>
                                      <w:sz w:val="24"/>
                                      <w:szCs w:val="24"/>
                                      <w:u w:color="00000a"/>
                                      <w:rtl w:val="0"/>
                                      <w:lang w:val="it-IT"/>
                                      <w14:textOutline w14:w="12700" w14:cap="flat">
                                        <w14:noFill/>
                                        <w14:miter w14:lim="400000"/>
                                      </w14:textOutline>
                                    </w:rPr>
                                    <w:t>p</w:t>
                                  </w:r>
                                  <w:r>
                                    <w:rPr>
                                      <w:rFonts w:ascii="Garamond" w:hAnsi="Garamond"/>
                                      <w:sz w:val="24"/>
                                      <w:szCs w:val="24"/>
                                      <w:u w:color="00000a"/>
                                      <w:rtl w:val="0"/>
                                      <w:lang w:val="en-US"/>
                                      <w14:textOutline w14:w="12700" w14:cap="flat">
                                        <w14:noFill/>
                                        <w14:miter w14:lim="400000"/>
                                      </w14:textOutline>
                                    </w:rPr>
                                    <w:t>&lt;.05; **</w:t>
                                  </w:r>
                                  <w:r>
                                    <w:rPr>
                                      <w:rFonts w:ascii="Garamond" w:hAnsi="Garamond"/>
                                      <w:sz w:val="24"/>
                                      <w:szCs w:val="24"/>
                                      <w:u w:color="00000a"/>
                                      <w:rtl w:val="0"/>
                                      <w:lang w:val="it-IT"/>
                                      <w14:textOutline w14:w="12700" w14:cap="flat">
                                        <w14:noFill/>
                                        <w14:miter w14:lim="400000"/>
                                      </w14:textOutline>
                                    </w:rPr>
                                    <w:t>=p</w:t>
                                  </w:r>
                                  <w:r>
                                    <w:rPr>
                                      <w:rFonts w:ascii="Garamond" w:hAnsi="Garamond"/>
                                      <w:sz w:val="24"/>
                                      <w:szCs w:val="24"/>
                                      <w:u w:color="00000a"/>
                                      <w:rtl w:val="0"/>
                                      <w:lang w:val="en-US"/>
                                      <w14:textOutline w14:w="12700" w14:cap="flat">
                                        <w14:noFill/>
                                        <w14:miter w14:lim="400000"/>
                                      </w14:textOutline>
                                    </w:rPr>
                                    <w:t>&lt;.01).</w:t>
                                  </w:r>
                                </w:p>
                              </w:tc>
                            </w:tr>
                            <w:tr>
                              <w:tblPrEx>
                                <w:shd w:val="clear" w:color="auto" w:fill="4f81bd"/>
                              </w:tblPrEx>
                              <w:trPr>
                                <w:trHeight w:val="800" w:hRule="atLeast"/>
                                <w:tblHeader/>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501"/>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shd w:val="clear" w:color="auto" w:fill="ffffff"/>
                                      <w:rtl w:val="0"/>
                                      <w14:textOutline w14:w="12700" w14:cap="flat">
                                        <w14:noFill/>
                                        <w14:miter w14:lim="400000"/>
                                      </w14:textOutline>
                                    </w:rPr>
                                    <w:t>Sense of Responsibility</w:t>
                                  </w:r>
                                </w:p>
                              </w:tc>
                              <w:tc>
                                <w:tcPr>
                                  <w:tcW w:type="dxa" w:w="910"/>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Vigor</w:t>
                                  </w:r>
                                </w:p>
                              </w:tc>
                              <w:tc>
                                <w:tcPr>
                                  <w:tcW w:type="dxa" w:w="1119"/>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Stress Disorders</w:t>
                                  </w:r>
                                </w:p>
                              </w:tc>
                              <w:tc>
                                <w:tcPr>
                                  <w:tcW w:type="dxa" w:w="125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Precision and Punctuality</w:t>
                                  </w:r>
                                </w:p>
                              </w:tc>
                              <w:tc>
                                <w:tcPr>
                                  <w:tcW w:type="dxa" w:w="84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Spare Time</w:t>
                                  </w:r>
                                </w:p>
                              </w:tc>
                              <w:tc>
                                <w:tcPr>
                                  <w:tcW w:type="dxa" w:w="97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Hyper</w:t>
                                  </w:r>
                                </w:p>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activity</w:t>
                                  </w:r>
                                </w:p>
                              </w:tc>
                              <w:tc>
                                <w:tcPr>
                                  <w:tcW w:type="dxa" w:w="859"/>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Total</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rtl w:val="0"/>
                                    </w:rPr>
                                    <w:t>Validity Scale (IM)</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Expansiveness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(A)</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207</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Reasoning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(B)</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195</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191</w:t>
                                  </w:r>
                                  <w:r>
                                    <w:rPr>
                                      <w:rFonts w:ascii="Garamond" w:hAnsi="Garamond"/>
                                      <w:vertAlign w:val="superscript"/>
                                      <w:rtl w:val="0"/>
                                      <w14:textOutline w14:w="12700" w14:cap="flat">
                                        <w14:noFill/>
                                        <w14:miter w14:lim="400000"/>
                                      </w14:textOutline>
                                    </w:rPr>
                                    <w:t>*</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Emotional stability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(C)</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312</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295</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Dominance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(E)</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370</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218</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Vivacity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(F)</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408</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241</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304"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Conscientiousness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(G)</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330</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196</w:t>
                                  </w:r>
                                  <w:r>
                                    <w:rPr>
                                      <w:rFonts w:ascii="Garamond" w:hAnsi="Garamond"/>
                                      <w:vertAlign w:val="superscript"/>
                                      <w:rtl w:val="0"/>
                                      <w14:textOutline w14:w="12700" w14:cap="flat">
                                        <w14:noFill/>
                                        <w14:miter w14:lim="400000"/>
                                      </w14:textOutline>
                                    </w:rPr>
                                    <w:t>*</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213</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265</w:t>
                                  </w:r>
                                  <w:r>
                                    <w:rPr>
                                      <w:rFonts w:ascii="Garamond" w:hAnsi="Garamond"/>
                                      <w:vertAlign w:val="superscript"/>
                                      <w:rtl w:val="0"/>
                                      <w14:textOutline w14:w="12700" w14:cap="flat">
                                        <w14:noFill/>
                                        <w14:miter w14:lim="400000"/>
                                      </w14:textOutline>
                                    </w:rPr>
                                    <w:t>**</w:t>
                                  </w:r>
                                </w:p>
                              </w:tc>
                            </w:tr>
                            <w:tr>
                              <w:tblPrEx>
                                <w:shd w:val="clear" w:color="auto" w:fill="ced7e7"/>
                              </w:tblPrEx>
                              <w:trPr>
                                <w:trHeight w:val="304"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Social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udacity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(H)</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362</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204</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Sensitivity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(I)</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219</w:t>
                                  </w:r>
                                  <w:r>
                                    <w:rPr>
                                      <w:rFonts w:ascii="Garamond" w:hAnsi="Garamond"/>
                                      <w:vertAlign w:val="superscript"/>
                                      <w:rtl w:val="0"/>
                                      <w14:textOutline w14:w="12700" w14:cap="flat">
                                        <w14:noFill/>
                                        <w14:miter w14:lim="400000"/>
                                      </w14:textOutline>
                                    </w:rPr>
                                    <w:t>*</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Vigilance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(L)</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207</w:t>
                                  </w:r>
                                  <w:r>
                                    <w:rPr>
                                      <w:rFonts w:ascii="Garamond" w:hAnsi="Garamond"/>
                                      <w:vertAlign w:val="superscript"/>
                                      <w:rtl w:val="0"/>
                                      <w14:textOutline w14:w="12700" w14:cap="flat">
                                        <w14:noFill/>
                                        <w14:miter w14:lim="400000"/>
                                      </w14:textOutline>
                                    </w:rPr>
                                    <w:t>*</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Abstractness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(M)</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232</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Prudence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(N)</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205</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203</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Apprehensiveness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(O)</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Openness to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hange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(Q1)</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229</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Self-confidence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(Q2)</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Perfectionism</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(Q3)</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330</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365</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201</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400</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312</w:t>
                                  </w:r>
                                  <w:r>
                                    <w:rPr>
                                      <w:rFonts w:ascii="Garamond" w:hAnsi="Garamond"/>
                                      <w:vertAlign w:val="superscript"/>
                                      <w:rtl w:val="0"/>
                                      <w14:textOutline w14:w="12700" w14:cap="flat">
                                        <w14:noFill/>
                                        <w14:miter w14:lim="400000"/>
                                      </w14:textOutline>
                                    </w:rPr>
                                    <w:t>**</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Tension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(Q4)</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228</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214</w:t>
                                  </w:r>
                                  <w:r>
                                    <w:rPr>
                                      <w:rFonts w:ascii="Garamond" w:hAnsi="Garamond"/>
                                      <w:vertAlign w:val="superscript"/>
                                      <w:rtl w:val="0"/>
                                      <w14:textOutline w14:w="12700" w14:cap="flat">
                                        <w14:noFill/>
                                        <w14:miter w14:lim="400000"/>
                                      </w14:textOutline>
                                    </w:rPr>
                                    <w:t>*</w:t>
                                  </w:r>
                                </w:p>
                              </w:tc>
                            </w:tr>
                          </w:tbl>
                        </w:txbxContent>
                      </wps:txbx>
                      <wps:bodyPr lIns="0" tIns="0" rIns="0" bIns="0">
                        <a:spAutoFit/>
                      </wps:bodyPr>
                    </wps:wsp>
                  </a:graphicData>
                </a:graphic>
              </wp:anchor>
            </w:drawing>
          </mc:Choice>
          <mc:Fallback>
            <w:pict>
              <v:shape id="_x0000_s1029" type="#_x0000_t202" style="visibility:visible;position:absolute;margin-left:56.7pt;margin-top:239.9pt;width:507.0pt;height:497.0pt;z-index:251663360;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10093"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624"/>
                        <w:gridCol w:w="1502"/>
                        <w:gridCol w:w="911"/>
                        <w:gridCol w:w="1119"/>
                        <w:gridCol w:w="1256"/>
                        <w:gridCol w:w="847"/>
                        <w:gridCol w:w="974"/>
                        <w:gridCol w:w="860"/>
                      </w:tblGrid>
                      <w:tr>
                        <w:tblPrEx>
                          <w:shd w:val="clear" w:color="auto" w:fill="4f81bd"/>
                        </w:tblPrEx>
                        <w:trPr>
                          <w:trHeight w:val="320" w:hRule="atLeast"/>
                          <w:tblHeader/>
                        </w:trPr>
                        <w:tc>
                          <w:tcPr>
                            <w:tcW w:type="dxa" w:w="6156"/>
                            <w:gridSpan w:val="4"/>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4</w:t>
                            </w:r>
                          </w:p>
                        </w:tc>
                        <w:tc>
                          <w:tcPr>
                            <w:tcW w:type="dxa" w:w="1256"/>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46"/>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974"/>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59"/>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540" w:hRule="atLeast"/>
                          <w:tblHeader/>
                        </w:trPr>
                        <w:tc>
                          <w:tcPr>
                            <w:tcW w:type="dxa" w:w="10093"/>
                            <w:gridSpan w:val="8"/>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pPr>
                            <w:r>
                              <w:rPr>
                                <w:rFonts w:ascii="Garamond" w:hAnsi="Garamond"/>
                                <w:sz w:val="24"/>
                                <w:szCs w:val="24"/>
                                <w:u w:color="00000a"/>
                                <w:rtl w:val="0"/>
                                <w:lang w:val="it-IT"/>
                                <w14:textOutline w14:w="12700" w14:cap="flat">
                                  <w14:noFill/>
                                  <w14:miter w14:lim="400000"/>
                                </w14:textOutline>
                              </w:rPr>
                              <w:t>Pearson</w:t>
                            </w:r>
                            <w:r>
                              <w:rPr>
                                <w:rFonts w:ascii="Garamond" w:hAnsi="Garamond"/>
                                <w:sz w:val="24"/>
                                <w:szCs w:val="24"/>
                                <w:u w:color="00000a"/>
                                <w:rtl w:val="0"/>
                                <w:lang w:val="en-US"/>
                                <w14:textOutline w14:w="12700" w14:cap="flat">
                                  <w14:noFill/>
                                  <w14:miter w14:lim="400000"/>
                                </w14:textOutline>
                              </w:rPr>
                              <w:t xml:space="preserve"> correlation analysis between </w:t>
                            </w:r>
                            <w:r>
                              <w:rPr>
                                <w:rFonts w:ascii="Garamond" w:hAnsi="Garamond"/>
                                <w:sz w:val="24"/>
                                <w:szCs w:val="24"/>
                                <w:u w:color="00000a"/>
                                <w:rtl w:val="0"/>
                                <w:lang w:val="it-IT"/>
                                <w14:textOutline w14:w="12700" w14:cap="flat">
                                  <w14:noFill/>
                                  <w14:miter w14:lim="400000"/>
                                </w14:textOutline>
                              </w:rPr>
                              <w:t>the 16 P</w:t>
                            </w:r>
                            <w:r>
                              <w:rPr>
                                <w:rFonts w:ascii="Garamond" w:hAnsi="Garamond"/>
                                <w:sz w:val="24"/>
                                <w:szCs w:val="24"/>
                                <w:u w:color="00000a"/>
                                <w:rtl w:val="0"/>
                                <w:lang w:val="en-US"/>
                                <w14:textOutline w14:w="12700" w14:cap="flat">
                                  <w14:noFill/>
                                  <w14:miter w14:lim="400000"/>
                                </w14:textOutline>
                              </w:rPr>
                              <w:t xml:space="preserve">ersonality </w:t>
                            </w:r>
                            <w:r>
                              <w:rPr>
                                <w:rFonts w:ascii="Garamond" w:hAnsi="Garamond"/>
                                <w:sz w:val="24"/>
                                <w:szCs w:val="24"/>
                                <w:u w:color="00000a"/>
                                <w:rtl w:val="0"/>
                                <w:lang w:val="it-IT"/>
                                <w14:textOutline w14:w="12700" w14:cap="flat">
                                  <w14:noFill/>
                                  <w14:miter w14:lim="400000"/>
                                </w14:textOutline>
                              </w:rPr>
                              <w:t>Factors</w:t>
                            </w:r>
                            <w:r>
                              <w:rPr>
                                <w:rFonts w:ascii="Garamond" w:hAnsi="Garamond"/>
                                <w:sz w:val="24"/>
                                <w:szCs w:val="24"/>
                                <w:u w:color="00000a"/>
                                <w:rtl w:val="0"/>
                                <w:lang w:val="en-US"/>
                                <w14:textOutline w14:w="12700" w14:cap="flat">
                                  <w14:noFill/>
                                  <w14:miter w14:lim="400000"/>
                                </w14:textOutline>
                              </w:rPr>
                              <w:t xml:space="preserve"> (</w:t>
                            </w:r>
                            <w:r>
                              <w:rPr>
                                <w:rFonts w:ascii="Garamond" w:hAnsi="Garamond"/>
                                <w:sz w:val="24"/>
                                <w:szCs w:val="24"/>
                                <w:u w:color="00000a"/>
                                <w:rtl w:val="0"/>
                                <w:lang w:val="it-IT"/>
                                <w14:textOutline w14:w="12700" w14:cap="flat">
                                  <w14:noFill/>
                                  <w14:miter w14:lim="400000"/>
                                </w14:textOutline>
                              </w:rPr>
                              <w:t>on the left</w:t>
                            </w:r>
                            <w:r>
                              <w:rPr>
                                <w:rFonts w:ascii="Garamond" w:hAnsi="Garamond"/>
                                <w:sz w:val="24"/>
                                <w:szCs w:val="24"/>
                                <w:u w:color="00000a"/>
                                <w:rtl w:val="0"/>
                                <w:lang w:val="en-US"/>
                                <w14:textOutline w14:w="12700" w14:cap="flat">
                                  <w14:noFill/>
                                  <w14:miter w14:lim="400000"/>
                                </w14:textOutline>
                              </w:rPr>
                              <w:t xml:space="preserve">), and </w:t>
                            </w:r>
                            <w:r>
                              <w:rPr>
                                <w:rFonts w:ascii="Garamond" w:hAnsi="Garamond"/>
                                <w:sz w:val="24"/>
                                <w:szCs w:val="24"/>
                                <w:u w:color="00000a"/>
                                <w:rtl w:val="0"/>
                                <w:lang w:val="it-IT"/>
                                <w14:textOutline w14:w="12700" w14:cap="flat">
                                  <w14:noFill/>
                                  <w14:miter w14:lim="400000"/>
                                </w14:textOutline>
                              </w:rPr>
                              <w:t>P Stress Questionnaire</w:t>
                            </w:r>
                            <w:r>
                              <w:rPr>
                                <w:rFonts w:ascii="Garamond" w:hAnsi="Garamond"/>
                                <w:sz w:val="24"/>
                                <w:szCs w:val="24"/>
                                <w:u w:color="00000a"/>
                                <w:rtl w:val="0"/>
                                <w:lang w:val="en-US"/>
                                <w14:textOutline w14:w="12700" w14:cap="flat">
                                  <w14:noFill/>
                                  <w14:miter w14:lim="400000"/>
                                </w14:textOutline>
                              </w:rPr>
                              <w:t xml:space="preserve"> (</w:t>
                            </w:r>
                            <w:r>
                              <w:rPr>
                                <w:rFonts w:ascii="Garamond" w:hAnsi="Garamond"/>
                                <w:sz w:val="24"/>
                                <w:szCs w:val="24"/>
                                <w:u w:color="00000a"/>
                                <w:rtl w:val="0"/>
                                <w:lang w:val="it-IT"/>
                                <w14:textOutline w14:w="12700" w14:cap="flat">
                                  <w14:noFill/>
                                  <w14:miter w14:lim="400000"/>
                                </w14:textOutline>
                              </w:rPr>
                              <w:t>above</w:t>
                            </w:r>
                            <w:r>
                              <w:rPr>
                                <w:rFonts w:ascii="Garamond" w:hAnsi="Garamond"/>
                                <w:sz w:val="24"/>
                                <w:szCs w:val="24"/>
                                <w:u w:color="00000a"/>
                                <w:rtl w:val="0"/>
                                <w:lang w:val="en-US"/>
                                <w14:textOutline w14:w="12700" w14:cap="flat">
                                  <w14:noFill/>
                                  <w14:miter w14:lim="400000"/>
                                </w14:textOutline>
                              </w:rPr>
                              <w:t>) (*=</w:t>
                            </w:r>
                            <w:r>
                              <w:rPr>
                                <w:rFonts w:ascii="Garamond" w:hAnsi="Garamond"/>
                                <w:sz w:val="24"/>
                                <w:szCs w:val="24"/>
                                <w:u w:color="00000a"/>
                                <w:rtl w:val="0"/>
                                <w:lang w:val="it-IT"/>
                                <w14:textOutline w14:w="12700" w14:cap="flat">
                                  <w14:noFill/>
                                  <w14:miter w14:lim="400000"/>
                                </w14:textOutline>
                              </w:rPr>
                              <w:t>p</w:t>
                            </w:r>
                            <w:r>
                              <w:rPr>
                                <w:rFonts w:ascii="Garamond" w:hAnsi="Garamond"/>
                                <w:sz w:val="24"/>
                                <w:szCs w:val="24"/>
                                <w:u w:color="00000a"/>
                                <w:rtl w:val="0"/>
                                <w:lang w:val="en-US"/>
                                <w14:textOutline w14:w="12700" w14:cap="flat">
                                  <w14:noFill/>
                                  <w14:miter w14:lim="400000"/>
                                </w14:textOutline>
                              </w:rPr>
                              <w:t>&lt;.05; **</w:t>
                            </w:r>
                            <w:r>
                              <w:rPr>
                                <w:rFonts w:ascii="Garamond" w:hAnsi="Garamond"/>
                                <w:sz w:val="24"/>
                                <w:szCs w:val="24"/>
                                <w:u w:color="00000a"/>
                                <w:rtl w:val="0"/>
                                <w:lang w:val="it-IT"/>
                                <w14:textOutline w14:w="12700" w14:cap="flat">
                                  <w14:noFill/>
                                  <w14:miter w14:lim="400000"/>
                                </w14:textOutline>
                              </w:rPr>
                              <w:t>=p</w:t>
                            </w:r>
                            <w:r>
                              <w:rPr>
                                <w:rFonts w:ascii="Garamond" w:hAnsi="Garamond"/>
                                <w:sz w:val="24"/>
                                <w:szCs w:val="24"/>
                                <w:u w:color="00000a"/>
                                <w:rtl w:val="0"/>
                                <w:lang w:val="en-US"/>
                                <w14:textOutline w14:w="12700" w14:cap="flat">
                                  <w14:noFill/>
                                  <w14:miter w14:lim="400000"/>
                                </w14:textOutline>
                              </w:rPr>
                              <w:t>&lt;.01).</w:t>
                            </w:r>
                          </w:p>
                        </w:tc>
                      </w:tr>
                      <w:tr>
                        <w:tblPrEx>
                          <w:shd w:val="clear" w:color="auto" w:fill="4f81bd"/>
                        </w:tblPrEx>
                        <w:trPr>
                          <w:trHeight w:val="800" w:hRule="atLeast"/>
                          <w:tblHeader/>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501"/>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shd w:val="clear" w:color="auto" w:fill="ffffff"/>
                                <w:rtl w:val="0"/>
                                <w14:textOutline w14:w="12700" w14:cap="flat">
                                  <w14:noFill/>
                                  <w14:miter w14:lim="400000"/>
                                </w14:textOutline>
                              </w:rPr>
                              <w:t>Sense of Responsibility</w:t>
                            </w:r>
                          </w:p>
                        </w:tc>
                        <w:tc>
                          <w:tcPr>
                            <w:tcW w:type="dxa" w:w="910"/>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Vigor</w:t>
                            </w:r>
                          </w:p>
                        </w:tc>
                        <w:tc>
                          <w:tcPr>
                            <w:tcW w:type="dxa" w:w="1119"/>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Stress Disorders</w:t>
                            </w:r>
                          </w:p>
                        </w:tc>
                        <w:tc>
                          <w:tcPr>
                            <w:tcW w:type="dxa" w:w="125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Precision and Punctuality</w:t>
                            </w:r>
                          </w:p>
                        </w:tc>
                        <w:tc>
                          <w:tcPr>
                            <w:tcW w:type="dxa" w:w="84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Spare Time</w:t>
                            </w:r>
                          </w:p>
                        </w:tc>
                        <w:tc>
                          <w:tcPr>
                            <w:tcW w:type="dxa" w:w="97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Hyper</w:t>
                            </w:r>
                          </w:p>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activity</w:t>
                            </w:r>
                          </w:p>
                        </w:tc>
                        <w:tc>
                          <w:tcPr>
                            <w:tcW w:type="dxa" w:w="859"/>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 w:val="left" w:pos="2832"/>
                              </w:tabs>
                              <w:spacing w:before="0" w:line="240" w:lineRule="auto"/>
                              <w:jc w:val="center"/>
                            </w:pPr>
                            <w:r>
                              <w:rPr>
                                <w:rFonts w:ascii="Garamond" w:hAnsi="Garamond"/>
                                <w:u w:color="000000"/>
                                <w:shd w:val="clear" w:color="auto" w:fill="ffffff"/>
                                <w:rtl w:val="0"/>
                                <w14:textOutline w14:w="12700" w14:cap="flat">
                                  <w14:noFill/>
                                  <w14:miter w14:lim="400000"/>
                                </w14:textOutline>
                              </w:rPr>
                              <w:t>Total</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 w:val="left" w:pos="1416"/>
                                <w:tab w:val="left" w:pos="2124"/>
                              </w:tabs>
                              <w:spacing w:before="0" w:line="240" w:lineRule="auto"/>
                              <w:jc w:val="center"/>
                            </w:pPr>
                            <w:r>
                              <w:rPr>
                                <w:rFonts w:ascii="Garamond" w:hAnsi="Garamond"/>
                                <w:u w:color="000000"/>
                                <w:rtl w:val="0"/>
                              </w:rPr>
                              <w:t>Validity Scale (IM)</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Expansiveness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(A)</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207</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Reasoning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(B)</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195</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191</w:t>
                            </w:r>
                            <w:r>
                              <w:rPr>
                                <w:rFonts w:ascii="Garamond" w:hAnsi="Garamond"/>
                                <w:vertAlign w:val="superscript"/>
                                <w:rtl w:val="0"/>
                                <w14:textOutline w14:w="12700" w14:cap="flat">
                                  <w14:noFill/>
                                  <w14:miter w14:lim="400000"/>
                                </w14:textOutline>
                              </w:rPr>
                              <w:t>*</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Emotional stability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(C)</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312</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295</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Dominance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(E)</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370</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218</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Vivacity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(F)</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408</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241</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304"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Conscientiousness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(G)</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330</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196</w:t>
                            </w:r>
                            <w:r>
                              <w:rPr>
                                <w:rFonts w:ascii="Garamond" w:hAnsi="Garamond"/>
                                <w:vertAlign w:val="superscript"/>
                                <w:rtl w:val="0"/>
                                <w14:textOutline w14:w="12700" w14:cap="flat">
                                  <w14:noFill/>
                                  <w14:miter w14:lim="400000"/>
                                </w14:textOutline>
                              </w:rPr>
                              <w:t>*</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213</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265</w:t>
                            </w:r>
                            <w:r>
                              <w:rPr>
                                <w:rFonts w:ascii="Garamond" w:hAnsi="Garamond"/>
                                <w:vertAlign w:val="superscript"/>
                                <w:rtl w:val="0"/>
                                <w14:textOutline w14:w="12700" w14:cap="flat">
                                  <w14:noFill/>
                                  <w14:miter w14:lim="400000"/>
                                </w14:textOutline>
                              </w:rPr>
                              <w:t>**</w:t>
                            </w:r>
                          </w:p>
                        </w:tc>
                      </w:tr>
                      <w:tr>
                        <w:tblPrEx>
                          <w:shd w:val="clear" w:color="auto" w:fill="ced7e7"/>
                        </w:tblPrEx>
                        <w:trPr>
                          <w:trHeight w:val="304"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Social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udacity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(H)</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362</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204</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Sensitivity</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(I)</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219</w:t>
                            </w:r>
                            <w:r>
                              <w:rPr>
                                <w:rFonts w:ascii="Garamond" w:hAnsi="Garamond"/>
                                <w:vertAlign w:val="superscript"/>
                                <w:rtl w:val="0"/>
                                <w14:textOutline w14:w="12700" w14:cap="flat">
                                  <w14:noFill/>
                                  <w14:miter w14:lim="400000"/>
                                </w14:textOutline>
                              </w:rPr>
                              <w:t>*</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Vigilance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(L)</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207</w:t>
                            </w:r>
                            <w:r>
                              <w:rPr>
                                <w:rFonts w:ascii="Garamond" w:hAnsi="Garamond"/>
                                <w:vertAlign w:val="superscript"/>
                                <w:rtl w:val="0"/>
                                <w14:textOutline w14:w="12700" w14:cap="flat">
                                  <w14:noFill/>
                                  <w14:miter w14:lim="400000"/>
                                </w14:textOutline>
                              </w:rPr>
                              <w:t>*</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Abstractness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(M)</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232</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Prudence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(N)</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205</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203</w:t>
                            </w:r>
                            <w:r>
                              <w:rPr>
                                <w:rFonts w:ascii="Garamond" w:hAnsi="Garamond"/>
                                <w:vertAlign w:val="superscript"/>
                                <w:rtl w:val="0"/>
                                <w14:textOutline w14:w="12700" w14:cap="flat">
                                  <w14:noFill/>
                                  <w14:miter w14:lim="400000"/>
                                </w14:textOutline>
                              </w:rPr>
                              <w:t>*</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Apprehensiveness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(O)</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 xml:space="preserve">Openness to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hange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(Q1)</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229</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Self-confidence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(Q2)</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r>
                      <w:tr>
                        <w:tblPrEx>
                          <w:shd w:val="clear" w:color="auto" w:fill="ced7e7"/>
                        </w:tblPrEx>
                        <w:trPr>
                          <w:trHeight w:val="29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Perfectionism</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(Q3)</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330</w:t>
                            </w:r>
                            <w:r>
                              <w:rPr>
                                <w:rFonts w:ascii="Garamond" w:hAnsi="Garamond"/>
                                <w:vertAlign w:val="superscript"/>
                                <w:rtl w:val="0"/>
                                <w14:textOutline w14:w="12700" w14:cap="flat">
                                  <w14:noFill/>
                                  <w14:miter w14:lim="400000"/>
                                </w14:textOutline>
                              </w:rPr>
                              <w:t>**</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365</w:t>
                            </w:r>
                            <w:r>
                              <w:rPr>
                                <w:rFonts w:ascii="Garamond" w:hAnsi="Garamond"/>
                                <w:vertAlign w:val="superscript"/>
                                <w:rtl w:val="0"/>
                                <w14:textOutline w14:w="12700" w14:cap="flat">
                                  <w14:noFill/>
                                  <w14:miter w14:lim="400000"/>
                                </w14:textOutline>
                              </w:rPr>
                              <w:t>**</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w:t>
                            </w: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201</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400</w:t>
                            </w:r>
                            <w:r>
                              <w:rPr>
                                <w:rFonts w:ascii="Garamond" w:hAnsi="Garamond"/>
                                <w:vertAlign w:val="superscript"/>
                                <w:rtl w:val="0"/>
                                <w14:textOutline w14:w="12700" w14:cap="flat">
                                  <w14:noFill/>
                                  <w14:miter w14:lim="400000"/>
                                </w14:textOutline>
                              </w:rPr>
                              <w:t>**</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312</w:t>
                            </w:r>
                            <w:r>
                              <w:rPr>
                                <w:rFonts w:ascii="Garamond" w:hAnsi="Garamond"/>
                                <w:vertAlign w:val="superscript"/>
                                <w:rtl w:val="0"/>
                                <w14:textOutline w14:w="12700" w14:cap="flat">
                                  <w14:noFill/>
                                  <w14:miter w14:lim="400000"/>
                                </w14:textOutline>
                              </w:rPr>
                              <w:t>**</w:t>
                            </w:r>
                          </w:p>
                        </w:tc>
                      </w:tr>
                      <w:tr>
                        <w:tblPrEx>
                          <w:shd w:val="clear" w:color="auto" w:fill="ced7e7"/>
                        </w:tblPrEx>
                        <w:trPr>
                          <w:trHeight w:val="310" w:hRule="atLeast"/>
                        </w:trPr>
                        <w:tc>
                          <w:tcPr>
                            <w:tcW w:type="dxa" w:w="2624"/>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s>
                              <w:suppressAutoHyphens w:val="0"/>
                              <w:bidi w:val="0"/>
                              <w:spacing w:before="0" w:after="0" w:line="240" w:lineRule="auto"/>
                              <w:ind w:left="0" w:right="0" w:firstLine="0"/>
                              <w:jc w:val="center"/>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en-US"/>
                                <w14:textOutline>
                                  <w14:noFill/>
                                </w14:textOutline>
                                <w14:textFill>
                                  <w14:solidFill>
                                    <w14:srgbClr w14:val="000000"/>
                                  </w14:solidFill>
                                </w14:textFill>
                              </w:rPr>
                              <w:t>Tension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rtl w:val="0"/>
                                <w:lang w:val="it-IT"/>
                                <w14:textOutline>
                                  <w14:noFill/>
                                </w14:textOutline>
                                <w14:textFill>
                                  <w14:solidFill>
                                    <w14:srgbClr w14:val="000000"/>
                                  </w14:solidFill>
                                </w14:textFill>
                              </w:rPr>
                              <w:t xml:space="preserve"> (Q4)</w:t>
                            </w:r>
                          </w:p>
                        </w:tc>
                        <w:tc>
                          <w:tcPr>
                            <w:tcW w:type="dxa" w:w="1501"/>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10"/>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111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228</w:t>
                            </w:r>
                            <w:r>
                              <w:rPr>
                                <w:rFonts w:ascii="Garamond" w:hAnsi="Garamond"/>
                                <w:vertAlign w:val="superscript"/>
                                <w:rtl w:val="0"/>
                                <w14:textOutline w14:w="12700" w14:cap="flat">
                                  <w14:noFill/>
                                  <w14:miter w14:lim="400000"/>
                                </w14:textOutline>
                              </w:rPr>
                              <w:t>*</w:t>
                            </w:r>
                          </w:p>
                        </w:tc>
                        <w:tc>
                          <w:tcPr>
                            <w:tcW w:type="dxa" w:w="125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4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974"/>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n.s.</w:t>
                            </w:r>
                          </w:p>
                        </w:tc>
                        <w:tc>
                          <w:tcPr>
                            <w:tcW w:type="dxa" w:w="859"/>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lang w:val="it-IT"/>
                                <w14:textOutline w14:w="12700" w14:cap="flat">
                                  <w14:noFill/>
                                  <w14:miter w14:lim="400000"/>
                                </w14:textOutline>
                              </w:rPr>
                              <w:t>.</w:t>
                            </w:r>
                            <w:r>
                              <w:rPr>
                                <w:rFonts w:ascii="Garamond" w:hAnsi="Garamond"/>
                                <w:rtl w:val="0"/>
                                <w14:textOutline w14:w="12700" w14:cap="flat">
                                  <w14:noFill/>
                                  <w14:miter w14:lim="400000"/>
                                </w14:textOutline>
                              </w:rPr>
                              <w:t>214</w:t>
                            </w:r>
                            <w:r>
                              <w:rPr>
                                <w:rFonts w:ascii="Garamond" w:hAnsi="Garamond"/>
                                <w:vertAlign w:val="superscript"/>
                                <w:rtl w:val="0"/>
                                <w14:textOutline w14:w="12700" w14:cap="flat">
                                  <w14:noFill/>
                                  <w14:miter w14:lim="400000"/>
                                </w14:textOutline>
                              </w:rPr>
                              <w:t>*</w:t>
                            </w:r>
                          </w:p>
                        </w:tc>
                      </w:tr>
                    </w:tbl>
                  </w:txbxContent>
                </v:textbox>
                <w10:wrap type="topAndBottom" side="bothSides" anchorx="page" anchory="page"/>
              </v:shape>
            </w:pict>
          </mc:Fallback>
        </mc:AlternateContent>
      </w:r>
      <w:r>
        <w:rPr>
          <w:rFonts w:ascii="Garamond" w:hAnsi="Garamond"/>
          <w:sz w:val="24"/>
          <w:szCs w:val="24"/>
          <w:rtl w:val="0"/>
          <w:lang w:val="en-US"/>
        </w:rPr>
        <w:t>Another aim of the present study was to verify whether stable individual traits (personality and behavior-lifestyles) have an effect on post-Covid psychological symptoms. For this purpose, a hierarchical linear multiple regression analysis was conducted considering as dependent variables, one at a time, the scores of the global clinical scales of the SQ (Anxiety, Depression, Somatic Complaints, and Hostility) and as independent variables the scores of 16-PF and PSQ.</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 xml:space="preserve">Considering anxiety, a hierarchical multiple regression analysis was performed to examine the amount of variance explained by the independent variables (Table 5). In a multicollinearity test, no extreme coefficient values </w:t>
      </w:r>
      <w:r>
        <w:rPr>
          <w:rFonts w:ascii="Arial Unicode MS" w:cs="Arial Unicode MS" w:hAnsi="Arial Unicode MS" w:eastAsia="Arial Unicode MS" w:hint="default"/>
          <w:b w:val="0"/>
          <w:bCs w:val="0"/>
          <w:i w:val="0"/>
          <w:iCs w:val="0"/>
          <w:sz w:val="24"/>
          <w:szCs w:val="24"/>
          <w:rtl w:val="0"/>
          <w:lang w:val="en-US"/>
        </w:rPr>
        <w:t>​​</w:t>
      </w:r>
      <w:r>
        <w:rPr>
          <w:rFonts w:ascii="Garamond" w:hAnsi="Garamond" w:hint="default"/>
          <w:sz w:val="24"/>
          <w:szCs w:val="24"/>
          <w:rtl w:val="0"/>
          <w:lang w:val="en-US"/>
        </w:rPr>
        <w:t>≥</w:t>
      </w:r>
      <w:r>
        <w:rPr>
          <w:rFonts w:ascii="Garamond" w:hAnsi="Garamond"/>
          <w:sz w:val="24"/>
          <w:szCs w:val="24"/>
          <w:rtl w:val="0"/>
          <w:lang w:val="en-US"/>
        </w:rPr>
        <w:t xml:space="preserve">0.8 were found among the independent variables, indicating a low risk of multicollinearity. All independent variables had variance inflation factors </w:t>
      </w:r>
      <w:r>
        <w:rPr>
          <w:rFonts w:ascii="Garamond" w:hAnsi="Garamond" w:hint="default"/>
          <w:sz w:val="24"/>
          <w:szCs w:val="24"/>
          <w:rtl w:val="0"/>
          <w:lang w:val="en-US"/>
        </w:rPr>
        <w:t>≤</w:t>
      </w:r>
      <w:r>
        <w:rPr>
          <w:rFonts w:ascii="Garamond" w:hAnsi="Garamond"/>
          <w:sz w:val="24"/>
          <w:szCs w:val="24"/>
          <w:rtl w:val="0"/>
          <w:lang w:val="en-US"/>
        </w:rPr>
        <w:t xml:space="preserve">10 and tolerance </w:t>
      </w:r>
      <w:r>
        <w:rPr>
          <w:rFonts w:ascii="Garamond" w:hAnsi="Garamond" w:hint="default"/>
          <w:sz w:val="24"/>
          <w:szCs w:val="24"/>
          <w:rtl w:val="0"/>
          <w:lang w:val="en-US"/>
        </w:rPr>
        <w:t>≥</w:t>
      </w:r>
      <w:r>
        <w:rPr>
          <w:rFonts w:ascii="Garamond" w:hAnsi="Garamond"/>
          <w:sz w:val="24"/>
          <w:szCs w:val="24"/>
          <w:rtl w:val="0"/>
          <w:lang w:val="en-US"/>
        </w:rPr>
        <w:t>0.1, indicating the absence of multicollinearity. The final model in this study had F=8.043, p&lt;.001 and was deemed suitable for the data. In the five-step search model of hierarchical regression analysis, the order of entry of independent variables in this study was as follows: factor Q4 of 16-PF, ST of PSQ, and factors C, Q1, and IM of 16-PF. In particular, the somatic tension (factor Q4), which reflects the level of tension and restlessness with respect to the last period of life, was entered first. The ST factor of the PSQ was entered in Model 2, as well as the factor C in Model 3, the factor Q1 in Model 4, and the factor IM in Model 5. The hierarchical multiple regression analysis was performed in five steps. The regression equations of models 1 to 5 were statistically significant (F=22.601, p&lt;.001; F=18.177, p&lt;.001; F=16.581, p&lt;.001; F=14.496, p&lt;.001, F=12.949, p&lt;.001, respectively). The variables added to Model 5 were Tension, Emotional Stability, Openness to Change, Image Management (respectively Q4, C, and Q1 factors of 16-PF), and Spare Time (ST of PSQ). Tension, emotional stability, and openness to change, together with the ability to take free time, explain a significant amount of variance in Anxiety (38.2%). The 3% more of variance is explained by the Image Management. The Q4 personality factor (</w:t>
      </w:r>
      <w:r>
        <w:rPr>
          <w:rFonts w:ascii="Garamond" w:hAnsi="Garamond" w:hint="default"/>
          <w:sz w:val="24"/>
          <w:szCs w:val="24"/>
          <w:rtl w:val="0"/>
          <w:lang w:val="en-US"/>
        </w:rPr>
        <w:t>β</w:t>
      </w:r>
      <w:r>
        <w:rPr>
          <w:rFonts w:ascii="Garamond" w:hAnsi="Garamond"/>
          <w:sz w:val="24"/>
          <w:szCs w:val="24"/>
          <w:rtl w:val="0"/>
          <w:lang w:val="en-US"/>
        </w:rPr>
        <w:t>=0.28, p&lt;.001) and the ST sub-scale of the PSQ (</w:t>
      </w:r>
      <w:r>
        <w:rPr>
          <w:rFonts w:ascii="Garamond" w:hAnsi="Garamond" w:hint="default"/>
          <w:sz w:val="24"/>
          <w:szCs w:val="24"/>
          <w:rtl w:val="0"/>
          <w:lang w:val="en-US"/>
        </w:rPr>
        <w:t>β</w:t>
      </w:r>
      <w:r>
        <w:rPr>
          <w:rFonts w:ascii="Garamond" w:hAnsi="Garamond"/>
          <w:sz w:val="24"/>
          <w:szCs w:val="24"/>
          <w:rtl w:val="0"/>
          <w:lang w:val="en-US"/>
        </w:rPr>
        <w:t>=0.28, p&lt;.001) have the greatest effect on Anxiety, followed by the factor C (</w:t>
      </w:r>
      <w:r>
        <w:rPr>
          <w:rFonts w:ascii="Garamond" w:hAnsi="Garamond" w:hint="default"/>
          <w:sz w:val="24"/>
          <w:szCs w:val="24"/>
          <w:rtl w:val="0"/>
          <w:lang w:val="en-US"/>
        </w:rPr>
        <w:t>β</w:t>
      </w:r>
      <w:r>
        <w:rPr>
          <w:rFonts w:ascii="Garamond" w:hAnsi="Garamond"/>
          <w:sz w:val="24"/>
          <w:szCs w:val="24"/>
          <w:rtl w:val="0"/>
          <w:lang w:val="en-US"/>
        </w:rPr>
        <w:t>=-0.26, p&lt;.001), the factor Q1 (</w:t>
      </w:r>
      <w:r>
        <w:rPr>
          <w:rFonts w:ascii="Garamond" w:hAnsi="Garamond" w:hint="default"/>
          <w:sz w:val="24"/>
          <w:szCs w:val="24"/>
          <w:rtl w:val="0"/>
          <w:lang w:val="en-US"/>
        </w:rPr>
        <w:t>β</w:t>
      </w:r>
      <w:r>
        <w:rPr>
          <w:rFonts w:ascii="Garamond" w:hAnsi="Garamond"/>
          <w:sz w:val="24"/>
          <w:szCs w:val="24"/>
          <w:rtl w:val="0"/>
          <w:lang w:val="en-US"/>
        </w:rPr>
        <w:t>=-0.21, p=.002), and the factor IM (</w:t>
      </w:r>
      <w:r>
        <w:rPr>
          <w:rFonts w:ascii="Garamond" w:hAnsi="Garamond" w:hint="default"/>
          <w:sz w:val="24"/>
          <w:szCs w:val="24"/>
          <w:rtl w:val="0"/>
          <w:lang w:val="en-US"/>
        </w:rPr>
        <w:t>β</w:t>
      </w:r>
      <w:r>
        <w:rPr>
          <w:rFonts w:ascii="Garamond" w:hAnsi="Garamond"/>
          <w:sz w:val="24"/>
          <w:szCs w:val="24"/>
          <w:rtl w:val="0"/>
          <w:lang w:val="en-US"/>
        </w:rPr>
        <w:t>=-0.18, p=.003).</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hint="default"/>
          <w:sz w:val="24"/>
          <w:szCs w:val="24"/>
          <w:rtl w:val="0"/>
          <w:lang w:val="it-IT"/>
        </w:rPr>
        <w:t>ù</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Also considering depression, a hierarchical multiple regression analysis was performed to examine the amount of variance explained by the independent variables (Table 6). The final model in this study had F=17.284, p&lt;.001 and was deemed suitable for the data. In the four-step search model of hierarchical regression analysis, the order of entry of independent variables in this study was as follows: factor Q4 of 16-PF, SD scale of PSQ, and factor H of 16-PF. In particular, the somatic tension (factor Q4) was entered first. The SD factor of the PSQ was entered in Model 2 and the factor</w:t>
      </w:r>
      <w:r>
        <mc:AlternateContent>
          <mc:Choice Requires="wps">
            <w:drawing xmlns:a="http://schemas.openxmlformats.org/drawingml/2006/main">
              <wp:anchor distT="0" distB="0" distL="0" distR="0" simplePos="0" relativeHeight="251664384" behindDoc="0" locked="0" layoutInCell="1" allowOverlap="1">
                <wp:simplePos x="0" y="0"/>
                <wp:positionH relativeFrom="page">
                  <wp:posOffset>613339</wp:posOffset>
                </wp:positionH>
                <wp:positionV relativeFrom="page">
                  <wp:posOffset>899794</wp:posOffset>
                </wp:positionV>
                <wp:extent cx="6362700" cy="4699000"/>
                <wp:effectExtent l="0" t="0" r="0" b="0"/>
                <wp:wrapTopAndBottom distT="0" distB="0"/>
                <wp:docPr id="1073741831" name="officeArt object"/>
                <wp:cNvGraphicFramePr/>
                <a:graphic xmlns:a="http://schemas.openxmlformats.org/drawingml/2006/main">
                  <a:graphicData uri="http://schemas.microsoft.com/office/word/2010/wordprocessingShape">
                    <wps:wsp>
                      <wps:cNvSpPr/>
                      <wps:spPr>
                        <a:xfrm>
                          <a:off x="0" y="0"/>
                          <a:ext cx="6362700" cy="4699000"/>
                        </a:xfrm>
                        <a:prstGeom prst="rect">
                          <a:avLst/>
                        </a:prstGeom>
                      </wps:spPr>
                      <wps:txb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5</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 predictors of</w:t>
                                  </w:r>
                                  <w:r>
                                    <w:rPr>
                                      <w:rFonts w:ascii="Garamond" w:hAnsi="Garamond"/>
                                      <w:rtl w:val="0"/>
                                      <w:lang w:val="it-IT"/>
                                    </w:rPr>
                                    <w:t xml:space="preserve"> Anxiety</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189***</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275***</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 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344***</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 C, Q1</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382***</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5</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0.54</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0.16</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3.27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.001</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Spare Time (PSQ)</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0.69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3.47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&lt;.001</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-0.52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0.18</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-2.94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.004</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Q1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-0.47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0.19</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-0.21</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-2.54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0.02</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IM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-0.37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0.17</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-2.14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0.04</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410***</w:t>
                                  </w:r>
                                </w:p>
                              </w:tc>
                            </w:tr>
                            <w:tr>
                              <w:tblPrEx>
                                <w:shd w:val="clear" w:color="auto" w:fill="ced7e7"/>
                              </w:tblPrEx>
                              <w:trPr>
                                <w:trHeight w:val="76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Q4 (Tension, 16-PF); ST (Spare Time, PSQ); C (Emotional Stability, 16-PF); Q1 (Openness to Change, 16-PF); IM (Image Management, 16-PF).</w:t>
                                  </w:r>
                                </w:p>
                              </w:tc>
                            </w:tr>
                          </w:tbl>
                        </w:txbxContent>
                      </wps:txbx>
                      <wps:bodyPr lIns="0" tIns="0" rIns="0" bIns="0">
                        <a:spAutoFit/>
                      </wps:bodyPr>
                    </wps:wsp>
                  </a:graphicData>
                </a:graphic>
              </wp:anchor>
            </w:drawing>
          </mc:Choice>
          <mc:Fallback>
            <w:pict>
              <v:shape id="_x0000_s1030" type="#_x0000_t202" style="visibility:visible;position:absolute;margin-left:48.3pt;margin-top:70.8pt;width:501.0pt;height:370.0pt;z-index:251664384;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5</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 predictors of</w:t>
                            </w:r>
                            <w:r>
                              <w:rPr>
                                <w:rFonts w:ascii="Garamond" w:hAnsi="Garamond"/>
                                <w:rtl w:val="0"/>
                                <w:lang w:val="it-IT"/>
                              </w:rPr>
                              <w:t xml:space="preserve"> Anxiety</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189***</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275***</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 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344***</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ST, C, Q1</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382***</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5</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0.54</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0.16</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3.27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.001</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Spare Time (PSQ)</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0.69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3.47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&lt;.001</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-0.52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0.18</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-2.94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.004</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Q1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-0.47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0.19</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-0.21</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-2.54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0.02</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IM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-0.37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0.17</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-0.18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-2.14</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0.04</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410***</w:t>
                            </w:r>
                          </w:p>
                        </w:tc>
                      </w:tr>
                      <w:tr>
                        <w:tblPrEx>
                          <w:shd w:val="clear" w:color="auto" w:fill="ced7e7"/>
                        </w:tblPrEx>
                        <w:trPr>
                          <w:trHeight w:val="76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Q4 (Tension, 16-PF); ST (Spare Time, PSQ); C (Emotional Stability, 16-PF); Q1 (Openness to Change, 16-PF); IM (Image Management, 16-PF).</w:t>
                            </w:r>
                          </w:p>
                        </w:tc>
                      </w:tr>
                    </w:tbl>
                  </w:txbxContent>
                </v:textbox>
                <w10:wrap type="topAndBottom" side="bothSides" anchorx="page" anchory="page"/>
              </v:shape>
            </w:pict>
          </mc:Fallback>
        </mc:AlternateContent>
      </w:r>
      <w:r>
        <w:rPr>
          <w:rFonts w:ascii="Garamond" w:hAnsi="Garamond"/>
          <w:sz w:val="24"/>
          <w:szCs w:val="24"/>
          <w:rtl w:val="0"/>
          <w:lang w:val="en-US"/>
        </w:rPr>
        <w:t xml:space="preserve"> H in Model 3. The hierarchical multiple regression analysis was performed in three steps. The regression equations of models 1 to 3 were statistically significant (F=29.788, p&lt;.001; F=20.798, p&lt;.001; F=17.284, respectively). The variables added to Model 3 were Q4, SD, and H. These personality traits along with the presence of stress-related physical disorders explain a significant amount of variance of Depression (35.3%). The Q4 personality factor (</w:t>
      </w:r>
      <w:r>
        <w:rPr>
          <w:rFonts w:ascii="Garamond" w:hAnsi="Garamond" w:hint="default"/>
          <w:sz w:val="24"/>
          <w:szCs w:val="24"/>
          <w:rtl w:val="0"/>
          <w:lang w:val="en-US"/>
        </w:rPr>
        <w:t>β</w:t>
      </w:r>
      <w:r>
        <w:rPr>
          <w:rFonts w:ascii="Garamond" w:hAnsi="Garamond"/>
          <w:sz w:val="24"/>
          <w:szCs w:val="24"/>
          <w:rtl w:val="0"/>
          <w:lang w:val="en-US"/>
        </w:rPr>
        <w:t>=0.36, p&lt;.001) has the greatest effect on Depression, followed by the SD scale (</w:t>
      </w:r>
      <w:r>
        <w:rPr>
          <w:rFonts w:ascii="Garamond" w:hAnsi="Garamond" w:hint="default"/>
          <w:sz w:val="24"/>
          <w:szCs w:val="24"/>
          <w:rtl w:val="0"/>
          <w:lang w:val="en-US"/>
        </w:rPr>
        <w:t>β</w:t>
      </w:r>
      <w:r>
        <w:rPr>
          <w:rFonts w:ascii="Garamond" w:hAnsi="Garamond"/>
          <w:sz w:val="24"/>
          <w:szCs w:val="24"/>
          <w:rtl w:val="0"/>
          <w:lang w:val="en-US"/>
        </w:rPr>
        <w:t>=0.27, p=.002) and the H factor (</w:t>
      </w:r>
      <w:r>
        <w:rPr>
          <w:rFonts w:ascii="Garamond" w:hAnsi="Garamond" w:hint="default"/>
          <w:sz w:val="24"/>
          <w:szCs w:val="24"/>
          <w:rtl w:val="0"/>
          <w:lang w:val="en-US"/>
        </w:rPr>
        <w:t>β</w:t>
      </w:r>
      <w:r>
        <w:rPr>
          <w:rFonts w:ascii="Garamond" w:hAnsi="Garamond"/>
          <w:sz w:val="24"/>
          <w:szCs w:val="24"/>
          <w:rtl w:val="0"/>
          <w:lang w:val="en-US"/>
        </w:rPr>
        <w:t>=-0.23, p=.008).</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Considering Somatic Complaints, another hierarchical multiple regression analysis was performed to examine the amount of variance explained by the independent variables (Table 7). The final model in this study had F=12.898, p&lt;.001 and was deemed suitable for the data. In the four-step search model of hierarchical regression analysis, the order of entry of independent variables in this study was as follows: C, O, and L factors of 16-PF and ST of PSQ. Emotional Stability (factor C) was entered first in Model 1. In Model 2 the factor O of 16-PF was entered, the factor L in Model 3, and the ST scale of the PSQ in Model 4. The hierarchical multiple regression analysis was performed in four steps. The regres</w:t>
      </w:r>
      <w:r>
        <mc:AlternateContent>
          <mc:Choice Requires="wps">
            <w:drawing xmlns:a="http://schemas.openxmlformats.org/drawingml/2006/main">
              <wp:anchor distT="0" distB="0" distL="0" distR="0" simplePos="0" relativeHeight="251665408" behindDoc="0" locked="0" layoutInCell="1" allowOverlap="1">
                <wp:simplePos x="0" y="0"/>
                <wp:positionH relativeFrom="page">
                  <wp:posOffset>720090</wp:posOffset>
                </wp:positionH>
                <wp:positionV relativeFrom="page">
                  <wp:posOffset>899794</wp:posOffset>
                </wp:positionV>
                <wp:extent cx="6362700" cy="3492500"/>
                <wp:effectExtent l="0" t="0" r="0" b="0"/>
                <wp:wrapTopAndBottom distT="0" distB="0"/>
                <wp:docPr id="1073741832" name="officeArt object"/>
                <wp:cNvGraphicFramePr/>
                <a:graphic xmlns:a="http://schemas.openxmlformats.org/drawingml/2006/main">
                  <a:graphicData uri="http://schemas.microsoft.com/office/word/2010/wordprocessingShape">
                    <wps:wsp>
                      <wps:cNvSpPr/>
                      <wps:spPr>
                        <a:xfrm>
                          <a:off x="0" y="0"/>
                          <a:ext cx="6362700" cy="3492500"/>
                        </a:xfrm>
                        <a:prstGeom prst="rect">
                          <a:avLst/>
                        </a:prstGeom>
                      </wps:spPr>
                      <wps:txb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13"/>
                              <w:gridCol w:w="2286"/>
                              <w:gridCol w:w="1223"/>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6</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 predictors of</w:t>
                                  </w:r>
                                  <w:r>
                                    <w:rPr>
                                      <w:rFonts w:ascii="Garamond" w:hAnsi="Garamond"/>
                                      <w:rtl w:val="0"/>
                                      <w:lang w:val="it-IT"/>
                                    </w:rPr>
                                    <w:t xml:space="preserve"> Depression</w:t>
                                  </w:r>
                                  <w:r>
                                    <w:rPr>
                                      <w:rFonts w:ascii="Garamond" w:hAnsi="Garamond"/>
                                      <w:shd w:val="clear" w:color="auto" w:fill="ffffff"/>
                                      <w:rtl w:val="0"/>
                                      <w:lang w:val="it-IT"/>
                                    </w:rPr>
                                    <w:t>.</w:t>
                                  </w:r>
                                </w:p>
                              </w:tc>
                            </w:tr>
                            <w:tr>
                              <w:tblPrEx>
                                <w:shd w:val="clear" w:color="auto" w:fill="ced7e7"/>
                              </w:tblPrEx>
                              <w:trPr>
                                <w:trHeight w:val="29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222"/>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668"/>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235***</w:t>
                                  </w:r>
                                </w:p>
                              </w:tc>
                            </w:tr>
                            <w:tr>
                              <w:tblPrEx>
                                <w:shd w:val="clear" w:color="auto" w:fill="ced7e7"/>
                              </w:tblPrEx>
                              <w:trPr>
                                <w:trHeight w:val="31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SD</w:t>
                                  </w:r>
                                </w:p>
                              </w:tc>
                              <w:tc>
                                <w:tcPr>
                                  <w:tcW w:type="dxa" w:w="6668"/>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302***</w:t>
                                  </w:r>
                                </w:p>
                              </w:tc>
                            </w:tr>
                            <w:tr>
                              <w:tblPrEx>
                                <w:shd w:val="clear" w:color="auto" w:fill="ced7e7"/>
                              </w:tblPrEx>
                              <w:trPr>
                                <w:trHeight w:val="28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013"/>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0.765</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0.185</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0.364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4.146</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&lt;.001</w:t>
                                  </w:r>
                                </w:p>
                              </w:tc>
                            </w:tr>
                            <w:tr>
                              <w:tblPrEx>
                                <w:shd w:val="clear" w:color="auto" w:fill="ced7e7"/>
                              </w:tblPrEx>
                              <w:trPr>
                                <w:trHeight w:val="380" w:hRule="atLeast"/>
                              </w:trPr>
                              <w:tc>
                                <w:tcPr>
                                  <w:tcW w:type="dxa" w:w="1013"/>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Stress Disorders (PSQ)</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0.769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0.242</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3.177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0.002</w:t>
                                  </w:r>
                                </w:p>
                              </w:tc>
                            </w:tr>
                            <w:tr>
                              <w:tblPrEx>
                                <w:shd w:val="clear" w:color="auto" w:fill="ced7e7"/>
                              </w:tblPrEx>
                              <w:trPr>
                                <w:trHeight w:val="290" w:hRule="atLeast"/>
                              </w:trPr>
                              <w:tc>
                                <w:tcPr>
                                  <w:tcW w:type="dxa" w:w="1013"/>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H (16-PF)</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-0.557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0.204</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-0.234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-2.731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0.008</w:t>
                                  </w:r>
                                </w:p>
                              </w:tc>
                            </w:tr>
                            <w:tr>
                              <w:tblPrEx>
                                <w:shd w:val="clear" w:color="auto" w:fill="ced7e7"/>
                              </w:tblPrEx>
                              <w:trPr>
                                <w:trHeight w:val="380" w:hRule="atLeast"/>
                              </w:trPr>
                              <w:tc>
                                <w:tcPr>
                                  <w:tcW w:type="dxa" w:w="1013"/>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954"/>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373***</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Q4 (Tension, 16-PF); SD (Stress Disorders, PSQ); H (Social Audacity, 16-PF).</w:t>
                                  </w:r>
                                </w:p>
                              </w:tc>
                            </w:tr>
                          </w:tbl>
                        </w:txbxContent>
                      </wps:txbx>
                      <wps:bodyPr lIns="0" tIns="0" rIns="0" bIns="0">
                        <a:spAutoFit/>
                      </wps:bodyPr>
                    </wps:wsp>
                  </a:graphicData>
                </a:graphic>
              </wp:anchor>
            </w:drawing>
          </mc:Choice>
          <mc:Fallback>
            <w:pict>
              <v:shape id="_x0000_s1031" type="#_x0000_t202" style="visibility:visible;position:absolute;margin-left:56.7pt;margin-top:70.8pt;width:501.0pt;height:275.0pt;z-index:251665408;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13"/>
                        <w:gridCol w:w="2286"/>
                        <w:gridCol w:w="1223"/>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6</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 predictors of</w:t>
                            </w:r>
                            <w:r>
                              <w:rPr>
                                <w:rFonts w:ascii="Garamond" w:hAnsi="Garamond"/>
                                <w:rtl w:val="0"/>
                                <w:lang w:val="it-IT"/>
                              </w:rPr>
                              <w:t xml:space="preserve"> Depression</w:t>
                            </w:r>
                            <w:r>
                              <w:rPr>
                                <w:rFonts w:ascii="Garamond" w:hAnsi="Garamond"/>
                                <w:shd w:val="clear" w:color="auto" w:fill="ffffff"/>
                                <w:rtl w:val="0"/>
                                <w:lang w:val="it-IT"/>
                              </w:rPr>
                              <w:t>.</w:t>
                            </w:r>
                          </w:p>
                        </w:tc>
                      </w:tr>
                      <w:tr>
                        <w:tblPrEx>
                          <w:shd w:val="clear" w:color="auto" w:fill="ced7e7"/>
                        </w:tblPrEx>
                        <w:trPr>
                          <w:trHeight w:val="29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222"/>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668"/>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235***</w:t>
                            </w:r>
                          </w:p>
                        </w:tc>
                      </w:tr>
                      <w:tr>
                        <w:tblPrEx>
                          <w:shd w:val="clear" w:color="auto" w:fill="ced7e7"/>
                        </w:tblPrEx>
                        <w:trPr>
                          <w:trHeight w:val="31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286"/>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SD</w:t>
                            </w:r>
                          </w:p>
                        </w:tc>
                        <w:tc>
                          <w:tcPr>
                            <w:tcW w:type="dxa" w:w="6668"/>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302***</w:t>
                            </w:r>
                          </w:p>
                        </w:tc>
                      </w:tr>
                      <w:tr>
                        <w:tblPrEx>
                          <w:shd w:val="clear" w:color="auto" w:fill="ced7e7"/>
                        </w:tblPrEx>
                        <w:trPr>
                          <w:trHeight w:val="280" w:hRule="atLeast"/>
                        </w:trPr>
                        <w:tc>
                          <w:tcPr>
                            <w:tcW w:type="dxa" w:w="1013"/>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013"/>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0.765</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0.185</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0.364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4.146</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&lt;.001</w:t>
                            </w:r>
                          </w:p>
                        </w:tc>
                      </w:tr>
                      <w:tr>
                        <w:tblPrEx>
                          <w:shd w:val="clear" w:color="auto" w:fill="ced7e7"/>
                        </w:tblPrEx>
                        <w:trPr>
                          <w:trHeight w:val="380" w:hRule="atLeast"/>
                        </w:trPr>
                        <w:tc>
                          <w:tcPr>
                            <w:tcW w:type="dxa" w:w="1013"/>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Stress Disorders (PSQ)</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0.769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0.242</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3.177</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0.002</w:t>
                            </w:r>
                          </w:p>
                        </w:tc>
                      </w:tr>
                      <w:tr>
                        <w:tblPrEx>
                          <w:shd w:val="clear" w:color="auto" w:fill="ced7e7"/>
                        </w:tblPrEx>
                        <w:trPr>
                          <w:trHeight w:val="290" w:hRule="atLeast"/>
                        </w:trPr>
                        <w:tc>
                          <w:tcPr>
                            <w:tcW w:type="dxa" w:w="1013"/>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286"/>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H (16-PF)</w:t>
                            </w:r>
                          </w:p>
                        </w:tc>
                        <w:tc>
                          <w:tcPr>
                            <w:tcW w:type="dxa" w:w="122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-0.557</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0.204</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-0.234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-2.731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60"/>
                              <w:bottom w:type="dxa" w:w="0"/>
                              <w:right w:type="dxa" w:w="384"/>
                            </w:tcMar>
                            <w:vAlign w:val="center"/>
                          </w:tcPr>
                          <w:p>
                            <w:pPr>
                              <w:pStyle w:val="Di default"/>
                              <w:suppressAutoHyphens w:val="1"/>
                              <w:bidi w:val="0"/>
                              <w:spacing w:before="0" w:line="320" w:lineRule="atLeast"/>
                              <w:ind w:left="60" w:right="284"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0.008</w:t>
                            </w:r>
                          </w:p>
                        </w:tc>
                      </w:tr>
                      <w:tr>
                        <w:tblPrEx>
                          <w:shd w:val="clear" w:color="auto" w:fill="ced7e7"/>
                        </w:tblPrEx>
                        <w:trPr>
                          <w:trHeight w:val="380" w:hRule="atLeast"/>
                        </w:trPr>
                        <w:tc>
                          <w:tcPr>
                            <w:tcW w:type="dxa" w:w="1013"/>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954"/>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373***</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Q4 (Tension, 16-PF); SD (Stress Disorders, PSQ); H (Social Audacity, 16-PF).</w:t>
                            </w:r>
                          </w:p>
                        </w:tc>
                      </w:tr>
                    </w:tbl>
                  </w:txbxContent>
                </v:textbox>
                <w10:wrap type="topAndBottom" side="bothSides" anchorx="page" anchory="page"/>
              </v:shape>
            </w:pict>
          </mc:Fallback>
        </mc:AlternateContent>
      </w:r>
      <w:r>
        <w:rPr>
          <w:rFonts w:ascii="Garamond" w:hAnsi="Garamond"/>
          <w:sz w:val="24"/>
          <w:szCs w:val="24"/>
          <w:rtl w:val="0"/>
          <w:lang w:val="en-US"/>
        </w:rPr>
        <w:t>sion equations of models 1 to 4 were statistically significant (F=21.891, p&lt;.001; F=16.198, p&lt;.001; F=15.003, p&lt;.001; F=12.898, p&lt;.001, respectively). The variables added to Model 4 were Emotional Stability, Apprehension, and Vigilance (factors C, O, and L of 16-PF, respectively), and Spare Time (ST of PSQ). The personality traits (emotional stability, apprehension, and alertness) combined with the ability to relax, explain a significant amount of variance in Somatic Complaints (35.4%). The C (</w:t>
      </w:r>
      <w:r>
        <w:rPr>
          <w:rFonts w:ascii="Garamond" w:hAnsi="Garamond" w:hint="default"/>
          <w:sz w:val="24"/>
          <w:szCs w:val="24"/>
          <w:rtl w:val="0"/>
          <w:lang w:val="en-US"/>
        </w:rPr>
        <w:t>β</w:t>
      </w:r>
      <w:r>
        <w:rPr>
          <w:rFonts w:ascii="Garamond" w:hAnsi="Garamond"/>
          <w:sz w:val="24"/>
          <w:szCs w:val="24"/>
          <w:rtl w:val="0"/>
          <w:lang w:val="en-US"/>
        </w:rPr>
        <w:t>=-0.27, p=.003) and O personality factors (</w:t>
      </w:r>
      <w:r>
        <w:rPr>
          <w:rFonts w:ascii="Garamond" w:hAnsi="Garamond" w:hint="default"/>
          <w:sz w:val="24"/>
          <w:szCs w:val="24"/>
          <w:rtl w:val="0"/>
          <w:lang w:val="en-US"/>
        </w:rPr>
        <w:t>β</w:t>
      </w:r>
      <w:r>
        <w:rPr>
          <w:rFonts w:ascii="Garamond" w:hAnsi="Garamond"/>
          <w:sz w:val="24"/>
          <w:szCs w:val="24"/>
          <w:rtl w:val="0"/>
          <w:lang w:val="en-US"/>
        </w:rPr>
        <w:t>=0.27, p=.002) have the greatest effect on somatic complaints, followed by the L personality factor (</w:t>
      </w:r>
      <w:r>
        <w:rPr>
          <w:rFonts w:ascii="Garamond" w:hAnsi="Garamond" w:hint="default"/>
          <w:sz w:val="24"/>
          <w:szCs w:val="24"/>
          <w:rtl w:val="0"/>
          <w:lang w:val="en-US"/>
        </w:rPr>
        <w:t>β</w:t>
      </w:r>
      <w:r>
        <w:rPr>
          <w:rFonts w:ascii="Garamond" w:hAnsi="Garamond"/>
          <w:sz w:val="24"/>
          <w:szCs w:val="24"/>
          <w:rtl w:val="0"/>
          <w:lang w:val="en-US"/>
        </w:rPr>
        <w:t>=0.24, p=.007), and the ST scale of the PSQ (</w:t>
      </w:r>
      <w:r>
        <w:rPr>
          <w:rFonts w:ascii="Garamond" w:hAnsi="Garamond" w:hint="default"/>
          <w:sz w:val="24"/>
          <w:szCs w:val="24"/>
          <w:rtl w:val="0"/>
          <w:lang w:val="en-US"/>
        </w:rPr>
        <w:t>β</w:t>
      </w:r>
      <w:r>
        <w:rPr>
          <w:rFonts w:ascii="Garamond" w:hAnsi="Garamond"/>
          <w:sz w:val="24"/>
          <w:szCs w:val="24"/>
          <w:rtl w:val="0"/>
          <w:lang w:val="en-US"/>
        </w:rPr>
        <w:t>=0.19, p=.003).</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r>
        <w:rPr>
          <w:rFonts w:ascii="Garamond" w:hAnsi="Garamond"/>
          <w:sz w:val="24"/>
          <w:szCs w:val="24"/>
          <w:rtl w:val="0"/>
          <w:lang w:val="en-US"/>
        </w:rPr>
        <w:t xml:space="preserve">Finally, considering the Hostility, the last hierarchical multiple regression analysis was performed to examine the amount of variance explained by the independent variables (Table 8). The final model in this study had F=8.043, p&lt;.001 and was deemed suitable for the data. In the four-step search model of hierarchical regression analysis, the order of entry of independent variables in this study was as follows: Q4, A, C, and Q1 factors of the 16-PF. Somatic Tension (factor Q4) was entered first and then Expansiveness (factor A), the factor C, and the factor Q1 followed respectively. The hierarchical multiple regression analysis was performed in four phases. The regression equations of models 1 </w:t>
      </w:r>
      <w:r>
        <mc:AlternateContent>
          <mc:Choice Requires="wps">
            <w:drawing xmlns:a="http://schemas.openxmlformats.org/drawingml/2006/main">
              <wp:anchor distT="0" distB="0" distL="0" distR="0" simplePos="0" relativeHeight="251666432" behindDoc="0" locked="0" layoutInCell="1" allowOverlap="1">
                <wp:simplePos x="0" y="0"/>
                <wp:positionH relativeFrom="page">
                  <wp:posOffset>613339</wp:posOffset>
                </wp:positionH>
                <wp:positionV relativeFrom="page">
                  <wp:posOffset>707390</wp:posOffset>
                </wp:positionV>
                <wp:extent cx="6362700" cy="4000500"/>
                <wp:effectExtent l="0" t="0" r="0" b="0"/>
                <wp:wrapTopAndBottom distT="0" distB="0"/>
                <wp:docPr id="1073741833" name="officeArt object"/>
                <wp:cNvGraphicFramePr/>
                <a:graphic xmlns:a="http://schemas.openxmlformats.org/drawingml/2006/main">
                  <a:graphicData uri="http://schemas.microsoft.com/office/word/2010/wordprocessingShape">
                    <wps:wsp>
                      <wps:cNvSpPr/>
                      <wps:spPr>
                        <a:xfrm>
                          <a:off x="0" y="0"/>
                          <a:ext cx="6362700" cy="4000500"/>
                        </a:xfrm>
                        <a:prstGeom prst="rect">
                          <a:avLst/>
                        </a:prstGeom>
                      </wps:spPr>
                      <wps:txb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7</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 xml:space="preserve">Hierarchical linear multiple regression analyses: predictors of </w:t>
                                  </w:r>
                                  <w:r>
                                    <w:rPr>
                                      <w:rFonts w:ascii="Garamond" w:hAnsi="Garamond"/>
                                      <w:rtl w:val="0"/>
                                      <w:lang w:val="it-IT"/>
                                    </w:rPr>
                                    <w:t>Somatic Complaints</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184***</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 O</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252***</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 O, L</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300***</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-0.660</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0.218</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-0.271</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-3.031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0.003</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O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0.842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0.261</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0.276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3.220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0.002</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L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0.619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0.225</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0.243</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2.758</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0.007</w:t>
                                  </w:r>
                                </w:p>
                              </w:tc>
                            </w:tr>
                            <w:tr>
                              <w:tblPrEx>
                                <w:shd w:val="clear" w:color="auto" w:fill="ced7e7"/>
                              </w:tblPrEx>
                              <w:trPr>
                                <w:trHeight w:val="28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Spare Time (PSQ)</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0.570</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0.185</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2.188</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0.031</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354***</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C (Emotional Stability, 16-PF); O</w:t>
                                  </w:r>
                                  <w:r>
                                    <w:rPr>
                                      <w:rFonts w:ascii="Garamond" w:hAnsi="Garamond"/>
                                      <w:sz w:val="18"/>
                                      <w:szCs w:val="18"/>
                                      <w:rtl w:val="0"/>
                                    </w:rPr>
                                    <w:t xml:space="preserve"> (</w:t>
                                  </w:r>
                                  <w:r>
                                    <w:rPr>
                                      <w:rFonts w:ascii="Garamond" w:hAnsi="Garamond"/>
                                      <w:sz w:val="18"/>
                                      <w:szCs w:val="18"/>
                                      <w:rtl w:val="0"/>
                                      <w:lang w:val="it-IT"/>
                                    </w:rPr>
                                    <w:t>Apprehensiveness</w:t>
                                  </w:r>
                                  <w:r>
                                    <w:rPr>
                                      <w:rFonts w:ascii="Garamond" w:hAnsi="Garamond"/>
                                      <w:sz w:val="18"/>
                                      <w:szCs w:val="18"/>
                                      <w:rtl w:val="0"/>
                                      <w:lang w:val="de-DE"/>
                                    </w:rPr>
                                    <w:t>, 16-PF)</w:t>
                                  </w:r>
                                  <w:r>
                                    <w:rPr>
                                      <w:rFonts w:ascii="Garamond" w:hAnsi="Garamond"/>
                                      <w:sz w:val="18"/>
                                      <w:szCs w:val="18"/>
                                      <w:rtl w:val="0"/>
                                      <w:lang w:val="it-IT"/>
                                    </w:rPr>
                                    <w:t>; L</w:t>
                                  </w:r>
                                  <w:r>
                                    <w:rPr>
                                      <w:rFonts w:ascii="Garamond" w:hAnsi="Garamond"/>
                                      <w:sz w:val="18"/>
                                      <w:szCs w:val="18"/>
                                      <w:rtl w:val="0"/>
                                    </w:rPr>
                                    <w:t xml:space="preserve"> (</w:t>
                                  </w:r>
                                  <w:r>
                                    <w:rPr>
                                      <w:rFonts w:ascii="Garamond" w:hAnsi="Garamond"/>
                                      <w:sz w:val="18"/>
                                      <w:szCs w:val="18"/>
                                      <w:rtl w:val="0"/>
                                      <w:lang w:val="it-IT"/>
                                    </w:rPr>
                                    <w:t>Vigilance</w:t>
                                  </w:r>
                                  <w:r>
                                    <w:rPr>
                                      <w:rFonts w:ascii="Garamond" w:hAnsi="Garamond"/>
                                      <w:sz w:val="18"/>
                                      <w:szCs w:val="18"/>
                                      <w:rtl w:val="0"/>
                                      <w:lang w:val="de-DE"/>
                                    </w:rPr>
                                    <w:t>, 16-PF)</w:t>
                                  </w:r>
                                  <w:r>
                                    <w:rPr>
                                      <w:rFonts w:ascii="Garamond" w:hAnsi="Garamond"/>
                                      <w:sz w:val="18"/>
                                      <w:szCs w:val="18"/>
                                      <w:rtl w:val="0"/>
                                      <w:lang w:val="it-IT"/>
                                    </w:rPr>
                                    <w:t>; ST (Spare Time, PSQ).</w:t>
                                  </w:r>
                                </w:p>
                              </w:tc>
                            </w:tr>
                          </w:tbl>
                        </w:txbxContent>
                      </wps:txbx>
                      <wps:bodyPr lIns="0" tIns="0" rIns="0" bIns="0">
                        <a:spAutoFit/>
                      </wps:bodyPr>
                    </wps:wsp>
                  </a:graphicData>
                </a:graphic>
              </wp:anchor>
            </w:drawing>
          </mc:Choice>
          <mc:Fallback>
            <w:pict>
              <v:shape id="_x0000_s1032" type="#_x0000_t202" style="visibility:visible;position:absolute;margin-left:48.3pt;margin-top:55.7pt;width:501.0pt;height:315.0pt;z-index:251666432;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7</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 xml:space="preserve">Hierarchical linear multiple regression analyses: predictors of </w:t>
                            </w:r>
                            <w:r>
                              <w:rPr>
                                <w:rFonts w:ascii="Garamond" w:hAnsi="Garamond"/>
                                <w:rtl w:val="0"/>
                                <w:lang w:val="it-IT"/>
                              </w:rPr>
                              <w:t>Somatic Complaints</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184***</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 O</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252***</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C, O, L</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300***</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-0.660</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0.218</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-0.271</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-3.031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0.003</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O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0.842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0.261</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0.276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3.220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0.002</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L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0.619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0.225</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0.243</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2.758</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0.007</w:t>
                            </w:r>
                          </w:p>
                        </w:tc>
                      </w:tr>
                      <w:tr>
                        <w:tblPrEx>
                          <w:shd w:val="clear" w:color="auto" w:fill="ced7e7"/>
                        </w:tblPrEx>
                        <w:trPr>
                          <w:trHeight w:val="28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Spare Time (PSQ)</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0.570</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0.260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0.185</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2.188</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0.031</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354***</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Legend: C (Emotional Stability, 16-PF); O</w:t>
                            </w:r>
                            <w:r>
                              <w:rPr>
                                <w:rFonts w:ascii="Garamond" w:hAnsi="Garamond"/>
                                <w:sz w:val="18"/>
                                <w:szCs w:val="18"/>
                                <w:rtl w:val="0"/>
                              </w:rPr>
                              <w:t xml:space="preserve"> (</w:t>
                            </w:r>
                            <w:r>
                              <w:rPr>
                                <w:rFonts w:ascii="Garamond" w:hAnsi="Garamond"/>
                                <w:sz w:val="18"/>
                                <w:szCs w:val="18"/>
                                <w:rtl w:val="0"/>
                                <w:lang w:val="it-IT"/>
                              </w:rPr>
                              <w:t>Apprehensiveness</w:t>
                            </w:r>
                            <w:r>
                              <w:rPr>
                                <w:rFonts w:ascii="Garamond" w:hAnsi="Garamond"/>
                                <w:sz w:val="18"/>
                                <w:szCs w:val="18"/>
                                <w:rtl w:val="0"/>
                                <w:lang w:val="de-DE"/>
                              </w:rPr>
                              <w:t>, 16-PF)</w:t>
                            </w:r>
                            <w:r>
                              <w:rPr>
                                <w:rFonts w:ascii="Garamond" w:hAnsi="Garamond"/>
                                <w:sz w:val="18"/>
                                <w:szCs w:val="18"/>
                                <w:rtl w:val="0"/>
                                <w:lang w:val="it-IT"/>
                              </w:rPr>
                              <w:t>; L</w:t>
                            </w:r>
                            <w:r>
                              <w:rPr>
                                <w:rFonts w:ascii="Garamond" w:hAnsi="Garamond"/>
                                <w:sz w:val="18"/>
                                <w:szCs w:val="18"/>
                                <w:rtl w:val="0"/>
                              </w:rPr>
                              <w:t xml:space="preserve"> (</w:t>
                            </w:r>
                            <w:r>
                              <w:rPr>
                                <w:rFonts w:ascii="Garamond" w:hAnsi="Garamond"/>
                                <w:sz w:val="18"/>
                                <w:szCs w:val="18"/>
                                <w:rtl w:val="0"/>
                                <w:lang w:val="it-IT"/>
                              </w:rPr>
                              <w:t>Vigilance</w:t>
                            </w:r>
                            <w:r>
                              <w:rPr>
                                <w:rFonts w:ascii="Garamond" w:hAnsi="Garamond"/>
                                <w:sz w:val="18"/>
                                <w:szCs w:val="18"/>
                                <w:rtl w:val="0"/>
                                <w:lang w:val="de-DE"/>
                              </w:rPr>
                              <w:t>, 16-PF)</w:t>
                            </w:r>
                            <w:r>
                              <w:rPr>
                                <w:rFonts w:ascii="Garamond" w:hAnsi="Garamond"/>
                                <w:sz w:val="18"/>
                                <w:szCs w:val="18"/>
                                <w:rtl w:val="0"/>
                                <w:lang w:val="it-IT"/>
                              </w:rPr>
                              <w:t>; ST (Spare Time, PSQ).</w:t>
                            </w:r>
                          </w:p>
                        </w:tc>
                      </w:tr>
                    </w:tbl>
                  </w:txbxContent>
                </v:textbox>
                <w10:wrap type="topAndBottom" side="bothSides" anchorx="page" anchory="page"/>
              </v:shape>
            </w:pict>
          </mc:Fallback>
        </mc:AlternateContent>
      </w:r>
      <w:r>
        <w:rPr>
          <w:rFonts w:ascii="Garamond" w:hAnsi="Garamond"/>
          <w:sz w:val="24"/>
          <w:szCs w:val="24"/>
          <w:rtl w:val="0"/>
          <w:lang w:val="en-US"/>
        </w:rPr>
        <w:t>to 4 were statistically significant (F=14.456, p&lt;.001; F=10.601, p&lt;.001; F=8.630, p&lt;.001; F=8.043, p&lt;.001, respectively). The variables added to Model 4 were Somatic Tension, Expansiveness, Emotional Stability, and Openness to Change (factors Q4, A, C, and Q1 of the 16-PF, respectively). With Somatic Tension, Expansiveness, and Emotional Stability a significant amount of variance of Hostility (21.4%) is understood. The 4.1% more variance of Hostility is explained by the factor Q1 (Openness to Change) of 16-PF in model 4. The personality factor A (</w:t>
      </w:r>
      <w:r>
        <w:rPr>
          <w:rFonts w:ascii="Garamond" w:hAnsi="Garamond" w:hint="default"/>
          <w:sz w:val="24"/>
          <w:szCs w:val="24"/>
          <w:rtl w:val="0"/>
          <w:lang w:val="en-US"/>
        </w:rPr>
        <w:t>β</w:t>
      </w:r>
      <w:r>
        <w:rPr>
          <w:rFonts w:ascii="Garamond" w:hAnsi="Garamond"/>
          <w:sz w:val="24"/>
          <w:szCs w:val="24"/>
          <w:rtl w:val="0"/>
          <w:lang w:val="en-US"/>
        </w:rPr>
        <w:t>=-0.24, p=.009) has the greatest effect on the Hostility, followed by the factors C (</w:t>
      </w:r>
      <w:r>
        <w:rPr>
          <w:rFonts w:ascii="Garamond" w:hAnsi="Garamond" w:hint="default"/>
          <w:sz w:val="24"/>
          <w:szCs w:val="24"/>
          <w:rtl w:val="0"/>
          <w:lang w:val="en-US"/>
        </w:rPr>
        <w:t>β</w:t>
      </w:r>
      <w:r>
        <w:rPr>
          <w:rFonts w:ascii="Garamond" w:hAnsi="Garamond"/>
          <w:sz w:val="24"/>
          <w:szCs w:val="24"/>
          <w:rtl w:val="0"/>
          <w:lang w:val="en-US"/>
        </w:rPr>
        <w:t>=-0.22, p&lt;.02), Q4 (</w:t>
      </w:r>
      <w:r>
        <w:rPr>
          <w:rFonts w:ascii="Garamond" w:hAnsi="Garamond" w:hint="default"/>
          <w:sz w:val="24"/>
          <w:szCs w:val="24"/>
          <w:rtl w:val="0"/>
          <w:lang w:val="en-US"/>
        </w:rPr>
        <w:t>β</w:t>
      </w:r>
      <w:r>
        <w:rPr>
          <w:rFonts w:ascii="Garamond" w:hAnsi="Garamond"/>
          <w:sz w:val="24"/>
          <w:szCs w:val="24"/>
          <w:rtl w:val="0"/>
          <w:lang w:val="en-US"/>
        </w:rPr>
        <w:t>=0.22, p=.03), and Q1 (</w:t>
      </w:r>
      <w:r>
        <w:rPr>
          <w:rFonts w:ascii="Garamond" w:hAnsi="Garamond" w:hint="default"/>
          <w:sz w:val="24"/>
          <w:szCs w:val="24"/>
          <w:rtl w:val="0"/>
          <w:lang w:val="en-US"/>
        </w:rPr>
        <w:t>β</w:t>
      </w:r>
      <w:r>
        <w:rPr>
          <w:rFonts w:ascii="Garamond" w:hAnsi="Garamond"/>
          <w:sz w:val="24"/>
          <w:szCs w:val="24"/>
          <w:rtl w:val="0"/>
          <w:lang w:val="en-US"/>
        </w:rPr>
        <w:t>=-0.21, p=.003).</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rPr>
      </w:pPr>
    </w:p>
    <w:p>
      <w:pPr>
        <w:pStyle w:val="Normal.0"/>
        <w:spacing w:after="0" w:line="360" w:lineRule="auto"/>
        <w:ind w:right="57"/>
        <w:jc w:val="both"/>
        <w:rPr>
          <w:rFonts w:ascii="Garamond" w:cs="Garamond" w:hAnsi="Garamond" w:eastAsia="Garamond"/>
          <w:b w:val="1"/>
          <w:bCs w:val="1"/>
          <w:sz w:val="24"/>
          <w:szCs w:val="24"/>
          <w:lang w:val="en-US"/>
          <w14:textOutline w14:w="12700" w14:cap="flat">
            <w14:noFill/>
            <w14:miter w14:lim="400000"/>
          </w14:textOutline>
        </w:rPr>
      </w:pPr>
      <w:r>
        <w:rPr>
          <w:rFonts w:ascii="Garamond" w:hAnsi="Garamond"/>
          <w:b w:val="1"/>
          <w:bCs w:val="1"/>
          <w:sz w:val="24"/>
          <w:szCs w:val="24"/>
          <w:rtl w:val="0"/>
          <w:lang w:val="en-US"/>
          <w14:textOutline w14:w="12700" w14:cap="flat">
            <w14:noFill/>
            <w14:miter w14:lim="400000"/>
          </w14:textOutline>
        </w:rPr>
        <w:t>Discussion</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b w:val="1"/>
          <w:bCs w:val="1"/>
          <w:sz w:val="24"/>
          <w:szCs w:val="24"/>
          <w:lang w:val="en-US"/>
          <w14:textOutline w14:w="12700" w14:cap="flat">
            <w14:noFill/>
            <w14:miter w14:lim="400000"/>
          </w14:textOutline>
        </w:rPr>
      </w:pP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This study aimed to investigate the psychological well-being of a sample of Italian students at the University of Parma in a particular phase that was entering into the post-Covid period. In fact, the recruitment of the subjects and the administration of the tests began in April, in the same month in which the containment measures for Covid-19 were relaxed in Italy. Since April 1</w:t>
      </w:r>
      <w:r>
        <w:rPr>
          <w:rFonts w:ascii="Garamond" w:hAnsi="Garamond"/>
          <w:sz w:val="24"/>
          <w:szCs w:val="24"/>
          <w:vertAlign w:val="superscript"/>
          <w:rtl w:val="0"/>
          <w:lang w:val="en-US"/>
          <w14:textOutline w14:w="12700" w14:cap="flat">
            <w14:noFill/>
            <w14:miter w14:lim="400000"/>
          </w14:textOutline>
        </w:rPr>
        <w:t>st</w:t>
      </w:r>
      <w:r>
        <w:rPr>
          <w:rFonts w:ascii="Garamond" w:hAnsi="Garamond"/>
          <w:sz w:val="24"/>
          <w:szCs w:val="24"/>
          <w:rtl w:val="0"/>
          <w:lang w:val="en-US"/>
          <w14:textOutline w14:w="12700" w14:cap="flat">
            <w14:noFill/>
            <w14:miter w14:lim="400000"/>
          </w14:textOutline>
        </w:rPr>
        <w:t>, 2022, the university</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s courses were delivered fully in person, the obligation to attend was restored, and in-</w:t>
      </w:r>
      <w:r>
        <mc:AlternateContent>
          <mc:Choice Requires="wps">
            <w:drawing xmlns:a="http://schemas.openxmlformats.org/drawingml/2006/main">
              <wp:anchor distT="0" distB="0" distL="0" distR="0" simplePos="0" relativeHeight="251667456" behindDoc="0" locked="0" layoutInCell="1" allowOverlap="1">
                <wp:simplePos x="0" y="0"/>
                <wp:positionH relativeFrom="page">
                  <wp:posOffset>720090</wp:posOffset>
                </wp:positionH>
                <wp:positionV relativeFrom="page">
                  <wp:posOffset>899794</wp:posOffset>
                </wp:positionV>
                <wp:extent cx="6362700" cy="4000500"/>
                <wp:effectExtent l="0" t="0" r="0" b="0"/>
                <wp:wrapTopAndBottom distT="0" distB="0"/>
                <wp:docPr id="1073741834" name="officeArt object"/>
                <wp:cNvGraphicFramePr/>
                <a:graphic xmlns:a="http://schemas.openxmlformats.org/drawingml/2006/main">
                  <a:graphicData uri="http://schemas.microsoft.com/office/word/2010/wordprocessingShape">
                    <wps:wsp>
                      <wps:cNvSpPr/>
                      <wps:spPr>
                        <a:xfrm>
                          <a:off x="0" y="0"/>
                          <a:ext cx="6362700" cy="4000500"/>
                        </a:xfrm>
                        <a:prstGeom prst="rect">
                          <a:avLst/>
                        </a:prstGeom>
                      </wps:spPr>
                      <wps:txb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8</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w:t>
                                  </w:r>
                                  <w:r>
                                    <w:rPr>
                                      <w:rFonts w:ascii="Garamond" w:hAnsi="Garamond"/>
                                      <w:rtl w:val="0"/>
                                      <w:lang w:val="it-IT"/>
                                    </w:rPr>
                                    <w:t>:</w:t>
                                  </w:r>
                                  <w:r>
                                    <w:rPr>
                                      <w:rFonts w:ascii="Garamond" w:hAnsi="Garamond"/>
                                      <w:rtl w:val="0"/>
                                    </w:rPr>
                                    <w:t xml:space="preserve"> </w:t>
                                  </w:r>
                                  <w:r>
                                    <w:rPr>
                                      <w:rFonts w:ascii="Garamond" w:hAnsi="Garamond"/>
                                      <w:rtl w:val="0"/>
                                      <w:lang w:val="it-IT"/>
                                    </w:rPr>
                                    <w:t>p</w:t>
                                  </w:r>
                                  <w:r>
                                    <w:rPr>
                                      <w:rFonts w:ascii="Garamond" w:hAnsi="Garamond"/>
                                      <w:rtl w:val="0"/>
                                      <w:lang w:val="en-US"/>
                                    </w:rPr>
                                    <w:t>redictors of</w:t>
                                  </w:r>
                                  <w:r>
                                    <w:rPr>
                                      <w:rFonts w:ascii="Garamond" w:hAnsi="Garamond"/>
                                      <w:rtl w:val="0"/>
                                      <w:lang w:val="it-IT"/>
                                    </w:rPr>
                                    <w:t xml:space="preserve"> Hostility</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130***</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A</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181***</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A, 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214***</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0.399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0.179</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0.218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2.231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0.028</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A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-0.411</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0.154</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-2.680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0.009</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-0.422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0.182</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-0.224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-2.320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0.023</w:t>
                                  </w:r>
                                </w:p>
                              </w:tc>
                            </w:tr>
                            <w:tr>
                              <w:tblPrEx>
                                <w:shd w:val="clear" w:color="auto" w:fill="ced7e7"/>
                              </w:tblPrEx>
                              <w:trPr>
                                <w:trHeight w:val="28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Q1 (16-PF)</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-0.454</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-2.270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0.026</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255*** (F=8.043)</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 xml:space="preserve">Legend: </w:t>
                                  </w:r>
                                  <w:r>
                                    <w:rPr>
                                      <w:rFonts w:ascii="Garamond" w:hAnsi="Garamond"/>
                                      <w:sz w:val="18"/>
                                      <w:szCs w:val="18"/>
                                      <w:rtl w:val="0"/>
                                      <w:lang w:val="fr-FR"/>
                                    </w:rPr>
                                    <w:t xml:space="preserve">Q4 (Tension, 16-PF); </w:t>
                                  </w:r>
                                  <w:r>
                                    <w:rPr>
                                      <w:rFonts w:ascii="Garamond" w:hAnsi="Garamond"/>
                                      <w:sz w:val="18"/>
                                      <w:szCs w:val="18"/>
                                      <w:rtl w:val="0"/>
                                      <w:lang w:val="it-IT"/>
                                    </w:rPr>
                                    <w:t>A</w:t>
                                  </w:r>
                                  <w:r>
                                    <w:rPr>
                                      <w:rFonts w:ascii="Garamond" w:hAnsi="Garamond"/>
                                      <w:sz w:val="18"/>
                                      <w:szCs w:val="18"/>
                                      <w:rtl w:val="0"/>
                                    </w:rPr>
                                    <w:t xml:space="preserve"> (</w:t>
                                  </w:r>
                                  <w:r>
                                    <w:rPr>
                                      <w:rFonts w:ascii="Garamond" w:hAnsi="Garamond"/>
                                      <w:sz w:val="18"/>
                                      <w:szCs w:val="18"/>
                                      <w:rtl w:val="0"/>
                                      <w:lang w:val="it-IT"/>
                                    </w:rPr>
                                    <w:t>Expansiveness</w:t>
                                  </w:r>
                                  <w:r>
                                    <w:rPr>
                                      <w:rFonts w:ascii="Garamond" w:hAnsi="Garamond"/>
                                      <w:sz w:val="18"/>
                                      <w:szCs w:val="18"/>
                                      <w:rtl w:val="0"/>
                                      <w:lang w:val="en-US"/>
                                    </w:rPr>
                                    <w:t>, 16-PF); C (Emotional Stability, 16-PF); Q1 (Openness to Change, 16-PF</w:t>
                                  </w:r>
                                  <w:r>
                                    <w:rPr>
                                      <w:rFonts w:ascii="Garamond" w:hAnsi="Garamond"/>
                                      <w:sz w:val="18"/>
                                      <w:szCs w:val="18"/>
                                      <w:rtl w:val="0"/>
                                      <w:lang w:val="it-IT"/>
                                    </w:rPr>
                                    <w:t>).</w:t>
                                  </w:r>
                                </w:p>
                              </w:tc>
                            </w:tr>
                          </w:tbl>
                        </w:txbxContent>
                      </wps:txbx>
                      <wps:bodyPr lIns="0" tIns="0" rIns="0" bIns="0">
                        <a:spAutoFit/>
                      </wps:bodyPr>
                    </wps:wsp>
                  </a:graphicData>
                </a:graphic>
              </wp:anchor>
            </w:drawing>
          </mc:Choice>
          <mc:Fallback>
            <w:pict>
              <v:shape id="_x0000_s1033" type="#_x0000_t202" style="visibility:visible;position:absolute;margin-left:56.7pt;margin-top:70.8pt;width:501.0pt;height:315.0pt;z-index:251667456;mso-position-horizontal:absolute;mso-position-horizontal-relative:page;mso-position-vertical:absolute;mso-position-vertical-relative:page;mso-wrap-distance-left:0.0pt;mso-wrap-distance-top:0.0pt;mso-wrap-distance-right:0.0pt;mso-wrap-distance-bottom:0.0pt;">
                <v:fill on="f"/>
                <v:stroke on="f" weight="0.8pt" dashstyle="solid" endcap="flat" joinstyle="round" linestyle="single" startarrow="none" startarrowwidth="medium" startarrowlength="medium" endarrow="none" endarrowwidth="medium" endarrowlength="medium"/>
                <v:textbox>
                  <w:txbxContent>
                    <w:tbl>
                      <w:tblPr>
                        <w:tblW w:w="9968" w:type="dxa"/>
                        <w:tblInd w:w="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16"/>
                        <w:gridCol w:w="2028"/>
                        <w:gridCol w:w="1378"/>
                        <w:gridCol w:w="1115"/>
                        <w:gridCol w:w="1553"/>
                        <w:gridCol w:w="1436"/>
                        <w:gridCol w:w="1342"/>
                      </w:tblGrid>
                      <w:tr>
                        <w:tblPrEx>
                          <w:shd w:val="clear" w:color="auto" w:fill="4f81bd"/>
                        </w:tblPrEx>
                        <w:trPr>
                          <w:trHeight w:val="320" w:hRule="atLeast"/>
                          <w:tblHeader/>
                        </w:trPr>
                        <w:tc>
                          <w:tcPr>
                            <w:tcW w:type="dxa" w:w="7190"/>
                            <w:gridSpan w:val="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s>
                              <w:suppressAutoHyphens w:val="0"/>
                              <w:bidi w:val="0"/>
                              <w:spacing w:before="0" w:after="0" w:line="240" w:lineRule="auto"/>
                              <w:ind w:left="0" w:right="0" w:firstLine="0"/>
                              <w:jc w:val="left"/>
                              <w:outlineLvl w:val="9"/>
                              <w:rPr>
                                <w:rtl w:val="0"/>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noFill/>
                                </w14:textOutline>
                                <w14:textFill>
                                  <w14:solidFill>
                                    <w14:srgbClr w14:val="000000"/>
                                  </w14:solidFill>
                                </w14:textFill>
                              </w:rPr>
                              <w:t>Table 8</w:t>
                            </w:r>
                          </w:p>
                        </w:tc>
                        <w:tc>
                          <w:tcPr>
                            <w:tcW w:type="dxa" w:w="1435"/>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1342"/>
                            <w:tcBorders>
                              <w:top w:val="nil"/>
                              <w:left w:val="nil"/>
                              <w:bottom w:val="single" w:color="000000" w:sz="8" w:space="0" w:shadow="0" w:frame="0"/>
                              <w:right w:val="nil"/>
                            </w:tcBorders>
                            <w:shd w:val="clear" w:color="auto" w:fill="auto"/>
                            <w:tcMar>
                              <w:top w:type="dxa" w:w="80"/>
                              <w:left w:type="dxa" w:w="80"/>
                              <w:bottom w:type="dxa" w:w="80"/>
                              <w:right w:type="dxa" w:w="80"/>
                            </w:tcMar>
                            <w:vAlign w:val="center"/>
                          </w:tcPr>
                          <w:p/>
                        </w:tc>
                      </w:tr>
                      <w:tr>
                        <w:tblPrEx>
                          <w:shd w:val="clear" w:color="auto" w:fill="4f81bd"/>
                        </w:tblPrEx>
                        <w:trPr>
                          <w:trHeight w:val="280" w:hRule="atLeast"/>
                          <w:tblHeader/>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40" w:lineRule="auto"/>
                              <w:ind w:left="0" w:right="0" w:firstLine="0"/>
                              <w:jc w:val="left"/>
                              <w:rPr>
                                <w:rtl w:val="0"/>
                              </w:rPr>
                            </w:pPr>
                            <w:r>
                              <w:rPr>
                                <w:rFonts w:ascii="Garamond" w:hAnsi="Garamond"/>
                                <w:rtl w:val="0"/>
                                <w:lang w:val="en-US"/>
                              </w:rPr>
                              <w:t>Hierarchical linear multiple regression analyses</w:t>
                            </w:r>
                            <w:r>
                              <w:rPr>
                                <w:rFonts w:ascii="Garamond" w:hAnsi="Garamond"/>
                                <w:rtl w:val="0"/>
                                <w:lang w:val="it-IT"/>
                              </w:rPr>
                              <w:t>:</w:t>
                            </w:r>
                            <w:r>
                              <w:rPr>
                                <w:rFonts w:ascii="Garamond" w:hAnsi="Garamond"/>
                                <w:rtl w:val="0"/>
                              </w:rPr>
                              <w:t xml:space="preserve"> </w:t>
                            </w:r>
                            <w:r>
                              <w:rPr>
                                <w:rFonts w:ascii="Garamond" w:hAnsi="Garamond"/>
                                <w:rtl w:val="0"/>
                                <w:lang w:val="it-IT"/>
                              </w:rPr>
                              <w:t>p</w:t>
                            </w:r>
                            <w:r>
                              <w:rPr>
                                <w:rFonts w:ascii="Garamond" w:hAnsi="Garamond"/>
                                <w:rtl w:val="0"/>
                                <w:lang w:val="en-US"/>
                              </w:rPr>
                              <w:t>redictors of</w:t>
                            </w:r>
                            <w:r>
                              <w:rPr>
                                <w:rFonts w:ascii="Garamond" w:hAnsi="Garamond"/>
                                <w:rtl w:val="0"/>
                                <w:lang w:val="it-IT"/>
                              </w:rPr>
                              <w:t xml:space="preserve"> Hostility</w:t>
                            </w:r>
                            <w:r>
                              <w:rPr>
                                <w:rFonts w:ascii="Garamond" w:hAnsi="Garamond"/>
                                <w:shd w:val="clear" w:color="auto" w:fill="ffffff"/>
                                <w:rtl w:val="0"/>
                                <w:lang w:val="it-IT"/>
                              </w:rPr>
                              <w:t>.</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Model</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Predictors</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0"/>
                              <w:bottom w:type="dxa" w:w="0"/>
                              <w:right w:type="dxa" w:w="0"/>
                            </w:tcMar>
                            <w:vAlign w:val="center"/>
                          </w:tcP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1</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130***</w:t>
                            </w:r>
                          </w:p>
                        </w:tc>
                      </w:tr>
                      <w:tr>
                        <w:tblPrEx>
                          <w:shd w:val="clear" w:color="auto" w:fill="ced7e7"/>
                        </w:tblPrEx>
                        <w:trPr>
                          <w:trHeight w:val="31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2</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A</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181***</w:t>
                            </w:r>
                          </w:p>
                        </w:tc>
                      </w:tr>
                      <w:tr>
                        <w:tblPrEx>
                          <w:shd w:val="clear" w:color="auto" w:fill="ced7e7"/>
                        </w:tblPrEx>
                        <w:trPr>
                          <w:trHeight w:val="29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3</w:t>
                            </w: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Q4, A, C</w:t>
                            </w:r>
                          </w:p>
                        </w:tc>
                        <w:tc>
                          <w:tcPr>
                            <w:tcW w:type="dxa" w:w="6824"/>
                            <w:gridSpan w:val="5"/>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214***</w:t>
                            </w:r>
                          </w:p>
                        </w:tc>
                      </w:tr>
                      <w:tr>
                        <w:tblPrEx>
                          <w:shd w:val="clear" w:color="auto" w:fill="ced7e7"/>
                        </w:tblPrEx>
                        <w:trPr>
                          <w:trHeight w:val="280" w:hRule="atLeast"/>
                        </w:trPr>
                        <w:tc>
                          <w:tcPr>
                            <w:tcW w:type="dxa" w:w="111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i w:val="1"/>
                                <w:iCs w:val="1"/>
                                <w:rtl w:val="0"/>
                                <w14:textOutline w14:w="12700" w14:cap="flat">
                                  <w14:noFill/>
                                  <w14:miter w14:lim="400000"/>
                                </w14:textOutline>
                              </w:rPr>
                              <w:t>b</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SE</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hint="default"/>
                                <w:i w:val="1"/>
                                <w:iCs w:val="1"/>
                                <w:rtl w:val="0"/>
                                <w14:textOutline w14:w="12700" w14:cap="flat">
                                  <w14:noFill/>
                                  <w14:miter w14:lim="400000"/>
                                </w14:textOutline>
                              </w:rPr>
                              <w:t>β</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t test</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spacing w:before="0" w:line="240" w:lineRule="auto"/>
                              <w:jc w:val="center"/>
                              <w:outlineLvl w:val="0"/>
                            </w:pPr>
                            <w:r>
                              <w:rPr>
                                <w:rFonts w:ascii="Garamond" w:hAnsi="Garamond"/>
                                <w:rtl w:val="0"/>
                                <w14:textOutline w14:w="12700" w14:cap="flat">
                                  <w14:noFill/>
                                  <w14:miter w14:lim="400000"/>
                                </w14:textOutline>
                              </w:rPr>
                              <w:t>p</w:t>
                            </w:r>
                          </w:p>
                        </w:tc>
                      </w:tr>
                      <w:tr>
                        <w:tblPrEx>
                          <w:shd w:val="clear" w:color="auto" w:fill="ced7e7"/>
                        </w:tblPrEx>
                        <w:trPr>
                          <w:trHeight w:val="290" w:hRule="atLeast"/>
                        </w:trPr>
                        <w:tc>
                          <w:tcPr>
                            <w:tcW w:type="dxa" w:w="1116"/>
                            <w:tcBorders>
                              <w:top w:val="single" w:color="000000"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pPr>
                              <w:pStyle w:val="Di default"/>
                              <w:tabs>
                                <w:tab w:val="left" w:pos="708"/>
                              </w:tabs>
                              <w:spacing w:before="0" w:line="240" w:lineRule="auto"/>
                              <w:jc w:val="center"/>
                            </w:pPr>
                            <w:r>
                              <w:rPr>
                                <w:rFonts w:ascii="Garamond" w:hAnsi="Garamond"/>
                                <w:u w:color="000000"/>
                                <w:rtl w:val="0"/>
                              </w:rPr>
                              <w:t>4</w:t>
                            </w: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Q4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0.399</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0.179</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0.218</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2.231</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0.028</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A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-0.411</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0.154</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-0.244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-2.680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0.009</w:t>
                            </w:r>
                          </w:p>
                        </w:tc>
                      </w:tr>
                      <w:tr>
                        <w:tblPrEx>
                          <w:shd w:val="clear" w:color="auto" w:fill="ced7e7"/>
                        </w:tblPrEx>
                        <w:trPr>
                          <w:trHeight w:val="29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single" w:color="ffffff" w:sz="8" w:space="0" w:shadow="0" w:frame="0"/>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C (16-PF)</w:t>
                            </w:r>
                          </w:p>
                        </w:tc>
                        <w:tc>
                          <w:tcPr>
                            <w:tcW w:type="dxa" w:w="1377"/>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-0.422</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0.182</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-0.224</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-2.320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0.023</w:t>
                            </w:r>
                          </w:p>
                        </w:tc>
                      </w:tr>
                      <w:tr>
                        <w:tblPrEx>
                          <w:shd w:val="clear" w:color="auto" w:fill="ced7e7"/>
                        </w:tblPrEx>
                        <w:trPr>
                          <w:trHeight w:val="280" w:hRule="atLeast"/>
                        </w:trPr>
                        <w:tc>
                          <w:tcPr>
                            <w:tcW w:type="dxa" w:w="1116"/>
                            <w:tcBorders>
                              <w:top w:val="single" w:color="ffffff" w:sz="8" w:space="0" w:shadow="0" w:frame="0"/>
                              <w:left w:val="nil"/>
                              <w:bottom w:val="single" w:color="ffffff" w:sz="8" w:space="0" w:shadow="0" w:frame="0"/>
                              <w:right w:val="nil"/>
                            </w:tcBorders>
                            <w:shd w:val="clear" w:color="auto" w:fill="auto"/>
                            <w:tcMar>
                              <w:top w:type="dxa" w:w="80"/>
                              <w:left w:type="dxa" w:w="80"/>
                              <w:bottom w:type="dxa" w:w="80"/>
                              <w:right w:type="dxa" w:w="80"/>
                            </w:tcMar>
                            <w:vAlign w:val="center"/>
                          </w:tcPr>
                          <w:p/>
                        </w:tc>
                        <w:tc>
                          <w:tcPr>
                            <w:tcW w:type="dxa" w:w="2028"/>
                            <w:tcBorders>
                              <w:top w:val="single" w:color="000000" w:sz="8" w:space="0" w:shadow="0" w:frame="0"/>
                              <w:left w:val="nil"/>
                              <w:bottom w:val="single" w:color="000000" w:sz="8" w:space="0" w:shadow="0" w:frame="0"/>
                              <w:right w:val="nil"/>
                            </w:tcBorders>
                            <w:shd w:val="clear" w:color="auto" w:fill="auto"/>
                            <w:tcMar>
                              <w:top w:type="dxa" w:w="0"/>
                              <w:left w:type="dxa" w:w="100"/>
                              <w:bottom w:type="dxa" w:w="0"/>
                              <w:right w:type="dxa" w:w="10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rtl w:val="0"/>
                                <w14:textOutline w14:w="12700" w14:cap="flat">
                                  <w14:noFill/>
                                  <w14:miter w14:lim="400000"/>
                                </w14:textOutline>
                              </w:rPr>
                              <w:t>Factor Q1 (16-PF)</w:t>
                            </w:r>
                          </w:p>
                        </w:tc>
                        <w:tc>
                          <w:tcPr>
                            <w:tcW w:type="dxa" w:w="1377"/>
                            <w:tcBorders>
                              <w:top w:val="single" w:color="000000" w:sz="8" w:space="0" w:shadow="0" w:frame="0"/>
                              <w:left w:val="nil"/>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-0.454</w:t>
                            </w:r>
                          </w:p>
                        </w:tc>
                        <w:tc>
                          <w:tcPr>
                            <w:tcW w:type="dxa" w:w="111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0.200</w:t>
                            </w:r>
                          </w:p>
                        </w:tc>
                        <w:tc>
                          <w:tcPr>
                            <w:tcW w:type="dxa" w:w="155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-0.206</w:t>
                            </w:r>
                          </w:p>
                        </w:tc>
                        <w:tc>
                          <w:tcPr>
                            <w:tcW w:type="dxa" w:w="1435"/>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-2.270</w:t>
                            </w:r>
                          </w:p>
                        </w:tc>
                        <w:tc>
                          <w:tcPr>
                            <w:tcW w:type="dxa" w:w="1342"/>
                            <w:tcBorders>
                              <w:top w:val="single" w:color="000000" w:sz="8" w:space="0" w:shadow="0" w:frame="0"/>
                              <w:left w:val="single" w:color="ffffff" w:sz="8" w:space="0" w:shadow="0" w:frame="0"/>
                              <w:bottom w:val="single" w:color="000000" w:sz="8" w:space="0" w:shadow="0" w:frame="0"/>
                              <w:right w:val="single" w:color="ffffff" w:sz="8" w:space="0" w:shadow="0" w:frame="0"/>
                            </w:tcBorders>
                            <w:shd w:val="clear" w:color="auto" w:fill="ffffff"/>
                            <w:tcMar>
                              <w:top w:type="dxa" w:w="0"/>
                              <w:left w:type="dxa" w:w="100"/>
                              <w:bottom w:type="dxa" w:w="0"/>
                              <w:right w:type="dxa" w:w="100"/>
                            </w:tcMar>
                            <w:vAlign w:val="center"/>
                          </w:tcPr>
                          <w:p>
                            <w:pPr>
                              <w:pStyle w:val="Di default"/>
                              <w:suppressAutoHyphens w:val="1"/>
                              <w:bidi w:val="0"/>
                              <w:spacing w:before="0" w:line="320" w:lineRule="atLeast"/>
                              <w:ind w:left="0" w:right="0" w:firstLine="0"/>
                              <w:jc w:val="center"/>
                              <w:outlineLvl w:val="0"/>
                              <w:rPr>
                                <w:rtl w:val="0"/>
                              </w:rPr>
                            </w:pPr>
                            <w:r>
                              <w:rPr>
                                <w:rFonts w:ascii="Garamond" w:hAnsi="Garamond"/>
                                <w:outline w:val="0"/>
                                <w:color w:val="000104"/>
                                <w:rtl w:val="0"/>
                                <w14:textOutline w14:w="12700" w14:cap="flat">
                                  <w14:noFill/>
                                  <w14:miter w14:lim="400000"/>
                                </w14:textOutline>
                                <w14:textFill>
                                  <w14:solidFill>
                                    <w14:srgbClr w14:val="010204"/>
                                  </w14:solidFill>
                                </w14:textFill>
                              </w:rPr>
                              <w:t>0.026</w:t>
                            </w:r>
                          </w:p>
                        </w:tc>
                      </w:tr>
                      <w:tr>
                        <w:tblPrEx>
                          <w:shd w:val="clear" w:color="auto" w:fill="ced7e7"/>
                        </w:tblPrEx>
                        <w:trPr>
                          <w:trHeight w:val="380" w:hRule="atLeast"/>
                        </w:trPr>
                        <w:tc>
                          <w:tcPr>
                            <w:tcW w:type="dxa" w:w="1116"/>
                            <w:tcBorders>
                              <w:top w:val="single" w:color="ffffff"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tc>
                        <w:tc>
                          <w:tcPr>
                            <w:tcW w:type="dxa" w:w="8852"/>
                            <w:gridSpan w:val="6"/>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suppressAutoHyphens w:val="1"/>
                              <w:bidi w:val="0"/>
                              <w:spacing w:before="0" w:line="240" w:lineRule="auto"/>
                              <w:ind w:left="0" w:right="0" w:firstLine="0"/>
                              <w:jc w:val="center"/>
                              <w:outlineLvl w:val="0"/>
                              <w:rPr>
                                <w:rtl w:val="0"/>
                              </w:rPr>
                            </w:pPr>
                            <w:r>
                              <w:rPr>
                                <w:rFonts w:ascii="Garamond" w:hAnsi="Garamond"/>
                                <w:b w:val="1"/>
                                <w:bCs w:val="1"/>
                                <w:rtl w:val="0"/>
                                <w14:textOutline w14:w="12700" w14:cap="flat">
                                  <w14:noFill/>
                                  <w14:miter w14:lim="400000"/>
                                </w14:textOutline>
                              </w:rPr>
                              <w:t>R</w:t>
                            </w:r>
                            <w:r>
                              <w:rPr>
                                <w:rFonts w:ascii="Garamond" w:hAnsi="Garamond"/>
                                <w:b w:val="1"/>
                                <w:bCs w:val="1"/>
                                <w:vertAlign w:val="superscript"/>
                                <w:rtl w:val="0"/>
                                <w14:textOutline w14:w="12700" w14:cap="flat">
                                  <w14:noFill/>
                                  <w14:miter w14:lim="400000"/>
                                </w14:textOutline>
                              </w:rPr>
                              <w:t>2</w:t>
                            </w:r>
                            <w:r>
                              <w:rPr>
                                <w:rFonts w:ascii="Garamond" w:hAnsi="Garamond"/>
                                <w:b w:val="1"/>
                                <w:bCs w:val="1"/>
                                <w:position w:val="10"/>
                                <w:rtl w:val="0"/>
                                <w14:textOutline w14:w="12700" w14:cap="flat">
                                  <w14:noFill/>
                                  <w14:miter w14:lim="400000"/>
                                </w14:textOutline>
                              </w:rPr>
                              <w:t xml:space="preserve"> </w:t>
                            </w:r>
                            <w:r>
                              <w:rPr>
                                <w:rFonts w:ascii="Garamond" w:hAnsi="Garamond"/>
                                <w:b w:val="1"/>
                                <w:bCs w:val="1"/>
                                <w:rtl w:val="0"/>
                                <w14:textOutline w14:w="12700" w14:cap="flat">
                                  <w14:noFill/>
                                  <w14:miter w14:lim="400000"/>
                                </w14:textOutline>
                              </w:rPr>
                              <w:t>= .</w:t>
                            </w:r>
                            <w:r>
                              <w:rPr>
                                <w:rFonts w:ascii="Garamond" w:hAnsi="Garamond"/>
                                <w:b w:val="1"/>
                                <w:bCs w:val="1"/>
                                <w:rtl w:val="0"/>
                                <w:lang w:val="it-IT"/>
                                <w14:textOutline w14:w="12700" w14:cap="flat">
                                  <w14:noFill/>
                                  <w14:miter w14:lim="400000"/>
                                </w14:textOutline>
                              </w:rPr>
                              <w:t>255*** (F=8.043)</w:t>
                            </w:r>
                          </w:p>
                        </w:tc>
                      </w:tr>
                      <w:tr>
                        <w:tblPrEx>
                          <w:shd w:val="clear" w:color="auto" w:fill="ced7e7"/>
                        </w:tblPrEx>
                        <w:trPr>
                          <w:trHeight w:val="580" w:hRule="atLeast"/>
                        </w:trPr>
                        <w:tc>
                          <w:tcPr>
                            <w:tcW w:type="dxa" w:w="9968"/>
                            <w:gridSpan w:val="7"/>
                            <w:tcBorders>
                              <w:top w:val="single" w:color="000000" w:sz="8" w:space="0" w:shadow="0" w:frame="0"/>
                              <w:left w:val="nil"/>
                              <w:bottom w:val="single" w:color="000000" w:sz="8" w:space="0" w:shadow="0" w:frame="0"/>
                              <w:right w:val="nil"/>
                            </w:tcBorders>
                            <w:shd w:val="clear" w:color="auto" w:fill="auto"/>
                            <w:tcMar>
                              <w:top w:type="dxa" w:w="80"/>
                              <w:left w:type="dxa" w:w="80"/>
                              <w:bottom w:type="dxa" w:w="80"/>
                              <w:right w:type="dxa" w:w="80"/>
                            </w:tcMar>
                            <w:vAlign w:val="center"/>
                          </w:tcPr>
                          <w:p>
                            <w:pPr>
                              <w:pStyle w:val="Di default"/>
                              <w:bidi w:val="0"/>
                              <w:spacing w:before="0" w:line="216" w:lineRule="auto"/>
                              <w:ind w:left="0" w:right="0" w:firstLine="0"/>
                              <w:jc w:val="left"/>
                              <w:rPr>
                                <w:rFonts w:ascii="Garamond" w:cs="Garamond" w:hAnsi="Garamond" w:eastAsia="Garamond"/>
                                <w:sz w:val="18"/>
                                <w:szCs w:val="18"/>
                                <w:rtl w:val="0"/>
                              </w:rPr>
                            </w:pPr>
                            <w:r>
                              <w:rPr>
                                <w:rFonts w:ascii="Garamond" w:hAnsi="Garamond"/>
                                <w:sz w:val="18"/>
                                <w:szCs w:val="18"/>
                                <w:rtl w:val="0"/>
                              </w:rPr>
                              <w:t xml:space="preserve">Note:*= </w:t>
                            </w:r>
                            <w:r>
                              <w:rPr>
                                <w:rFonts w:ascii="Garamond" w:hAnsi="Garamond"/>
                                <w:i w:val="1"/>
                                <w:iCs w:val="1"/>
                                <w:sz w:val="18"/>
                                <w:szCs w:val="18"/>
                                <w:rtl w:val="0"/>
                              </w:rPr>
                              <w:t>p</w:t>
                            </w:r>
                            <w:r>
                              <w:rPr>
                                <w:rFonts w:ascii="Garamond" w:hAnsi="Garamond"/>
                                <w:sz w:val="18"/>
                                <w:szCs w:val="18"/>
                                <w:rtl w:val="0"/>
                              </w:rPr>
                              <w:t>&lt;.05. **=</w:t>
                            </w:r>
                            <w:r>
                              <w:rPr>
                                <w:rFonts w:ascii="Garamond" w:hAnsi="Garamond"/>
                                <w:i w:val="1"/>
                                <w:iCs w:val="1"/>
                                <w:sz w:val="18"/>
                                <w:szCs w:val="18"/>
                                <w:rtl w:val="0"/>
                              </w:rPr>
                              <w:t>p</w:t>
                            </w:r>
                            <w:r>
                              <w:rPr>
                                <w:rFonts w:ascii="Garamond" w:hAnsi="Garamond"/>
                                <w:sz w:val="18"/>
                                <w:szCs w:val="18"/>
                                <w:rtl w:val="0"/>
                              </w:rPr>
                              <w:t>&lt;.01. ***=</w:t>
                            </w:r>
                            <w:r>
                              <w:rPr>
                                <w:rFonts w:ascii="Garamond" w:hAnsi="Garamond"/>
                                <w:i w:val="1"/>
                                <w:iCs w:val="1"/>
                                <w:sz w:val="18"/>
                                <w:szCs w:val="18"/>
                                <w:rtl w:val="0"/>
                              </w:rPr>
                              <w:t>p</w:t>
                            </w:r>
                            <w:r>
                              <w:rPr>
                                <w:rFonts w:ascii="Garamond" w:hAnsi="Garamond"/>
                                <w:sz w:val="18"/>
                                <w:szCs w:val="18"/>
                                <w:rtl w:val="0"/>
                              </w:rPr>
                              <w:t xml:space="preserve">&lt;.001; </w:t>
                            </w:r>
                            <w:r>
                              <w:rPr>
                                <w:rFonts w:ascii="Garamond" w:hAnsi="Garamond"/>
                                <w:i w:val="1"/>
                                <w:iCs w:val="1"/>
                                <w:sz w:val="18"/>
                                <w:szCs w:val="18"/>
                                <w:rtl w:val="0"/>
                              </w:rPr>
                              <w:t>b</w:t>
                            </w:r>
                            <w:r>
                              <w:rPr>
                                <w:rFonts w:ascii="Garamond" w:hAnsi="Garamond"/>
                                <w:sz w:val="18"/>
                                <w:szCs w:val="18"/>
                                <w:rtl w:val="0"/>
                                <w:lang w:val="en-US"/>
                              </w:rPr>
                              <w:t xml:space="preserve">=unstandardized regression coefficient; </w:t>
                            </w:r>
                            <w:r>
                              <w:rPr>
                                <w:rFonts w:ascii="Garamond" w:hAnsi="Garamond"/>
                                <w:sz w:val="18"/>
                                <w:szCs w:val="18"/>
                                <w:rtl w:val="0"/>
                                <w:lang w:val="it-IT"/>
                              </w:rPr>
                              <w:t xml:space="preserve">SE=standard error; </w:t>
                            </w:r>
                            <w:r>
                              <w:rPr>
                                <w:rFonts w:ascii="Garamond" w:hAnsi="Garamond" w:hint="default"/>
                                <w:i w:val="1"/>
                                <w:iCs w:val="1"/>
                                <w:sz w:val="18"/>
                                <w:szCs w:val="18"/>
                                <w:rtl w:val="0"/>
                              </w:rPr>
                              <w:t>β</w:t>
                            </w:r>
                            <w:r>
                              <w:rPr>
                                <w:rFonts w:ascii="Garamond" w:hAnsi="Garamond"/>
                                <w:sz w:val="18"/>
                                <w:szCs w:val="18"/>
                                <w:rtl w:val="0"/>
                                <w:lang w:val="en-US"/>
                              </w:rPr>
                              <w:t xml:space="preserve">=standardized regression coefficient. All predictor variables are mean-centered. </w:t>
                            </w:r>
                          </w:p>
                          <w:p>
                            <w:pPr>
                              <w:pStyle w:val="Di default"/>
                              <w:bidi w:val="0"/>
                              <w:spacing w:before="0" w:line="216" w:lineRule="auto"/>
                              <w:ind w:left="0" w:right="0" w:firstLine="0"/>
                              <w:jc w:val="left"/>
                              <w:rPr>
                                <w:rtl w:val="0"/>
                              </w:rPr>
                            </w:pPr>
                            <w:r>
                              <w:rPr>
                                <w:rFonts w:ascii="Garamond" w:hAnsi="Garamond"/>
                                <w:sz w:val="18"/>
                                <w:szCs w:val="18"/>
                                <w:rtl w:val="0"/>
                                <w:lang w:val="it-IT"/>
                              </w:rPr>
                              <w:t xml:space="preserve">Legend: </w:t>
                            </w:r>
                            <w:r>
                              <w:rPr>
                                <w:rFonts w:ascii="Garamond" w:hAnsi="Garamond"/>
                                <w:sz w:val="18"/>
                                <w:szCs w:val="18"/>
                                <w:rtl w:val="0"/>
                                <w:lang w:val="fr-FR"/>
                              </w:rPr>
                              <w:t xml:space="preserve">Q4 (Tension, 16-PF); </w:t>
                            </w:r>
                            <w:r>
                              <w:rPr>
                                <w:rFonts w:ascii="Garamond" w:hAnsi="Garamond"/>
                                <w:sz w:val="18"/>
                                <w:szCs w:val="18"/>
                                <w:rtl w:val="0"/>
                                <w:lang w:val="it-IT"/>
                              </w:rPr>
                              <w:t>A</w:t>
                            </w:r>
                            <w:r>
                              <w:rPr>
                                <w:rFonts w:ascii="Garamond" w:hAnsi="Garamond"/>
                                <w:sz w:val="18"/>
                                <w:szCs w:val="18"/>
                                <w:rtl w:val="0"/>
                              </w:rPr>
                              <w:t xml:space="preserve"> (</w:t>
                            </w:r>
                            <w:r>
                              <w:rPr>
                                <w:rFonts w:ascii="Garamond" w:hAnsi="Garamond"/>
                                <w:sz w:val="18"/>
                                <w:szCs w:val="18"/>
                                <w:rtl w:val="0"/>
                                <w:lang w:val="it-IT"/>
                              </w:rPr>
                              <w:t>Expansiveness</w:t>
                            </w:r>
                            <w:r>
                              <w:rPr>
                                <w:rFonts w:ascii="Garamond" w:hAnsi="Garamond"/>
                                <w:sz w:val="18"/>
                                <w:szCs w:val="18"/>
                                <w:rtl w:val="0"/>
                                <w:lang w:val="en-US"/>
                              </w:rPr>
                              <w:t>, 16-PF); C (Emotional Stability, 16-PF); Q1 (Openness to Change, 16-PF</w:t>
                            </w:r>
                            <w:r>
                              <w:rPr>
                                <w:rFonts w:ascii="Garamond" w:hAnsi="Garamond"/>
                                <w:sz w:val="18"/>
                                <w:szCs w:val="18"/>
                                <w:rtl w:val="0"/>
                                <w:lang w:val="it-IT"/>
                              </w:rPr>
                              <w:t>).</w:t>
                            </w:r>
                          </w:p>
                        </w:tc>
                      </w:tr>
                    </w:tbl>
                  </w:txbxContent>
                </v:textbox>
                <w10:wrap type="topAndBottom" side="bothSides" anchorx="page" anchory="page"/>
              </v:shape>
            </w:pict>
          </mc:Fallback>
        </mc:AlternateContent>
      </w:r>
      <w:r>
        <w:rPr>
          <w:rFonts w:ascii="Garamond" w:hAnsi="Garamond"/>
          <w:sz w:val="24"/>
          <w:szCs w:val="24"/>
          <w:rtl w:val="0"/>
          <w:lang w:val="en-US"/>
          <w14:textOutline w14:w="12700" w14:cap="flat">
            <w14:noFill/>
            <w14:miter w14:lim="400000"/>
          </w14:textOutline>
        </w:rPr>
        <w:t>person exams were back in place. The analysis of the literature carried out by the authors highlighted worrying results with respect to the mental health of students during the lock-down (Cavalera, 2020; Lima et al., 2020; Rajkumar, 2020; Rossi et al., 2020) as well as during the second and third wave of Covid-19 (Becerra-Garc</w:t>
      </w:r>
      <w:r>
        <w:rPr>
          <w:rFonts w:ascii="Garamond" w:hAnsi="Garamond" w:hint="default"/>
          <w:sz w:val="24"/>
          <w:szCs w:val="24"/>
          <w:rtl w:val="0"/>
          <w:lang w:val="en-US"/>
          <w14:textOutline w14:w="12700" w14:cap="flat">
            <w14:noFill/>
            <w14:miter w14:lim="400000"/>
          </w14:textOutline>
        </w:rPr>
        <w:t>í</w:t>
      </w:r>
      <w:r>
        <w:rPr>
          <w:rFonts w:ascii="Garamond" w:hAnsi="Garamond"/>
          <w:sz w:val="24"/>
          <w:szCs w:val="24"/>
          <w:rtl w:val="0"/>
          <w:lang w:val="en-US"/>
          <w14:textOutline w14:w="12700" w14:cap="flat">
            <w14:noFill/>
            <w14:miter w14:lim="400000"/>
          </w14:textOutline>
        </w:rPr>
        <w:t>a et al., 2021; Bueno-Notivol et al., 2021). However, this study is first in discussing this new transition and phase during the pandemic and the struggle in returning to normality.</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 xml:space="preserve">The results of our research confirmed the claims of previous authors about the effect of the pandemic on mental health (Pierce et al., 2020; Winkler et al., 2020). In fact, clinically significant scores emerged for all the global scales of the Symptom Questionnaire. The sample exceeds the cut-off for anxiety, depression, and somatization as well as hostility. The subjects who took part in the study complain of anxious activation with somatic and physical distress, and mood alterations, both in a depressive and irritable sense. Contrary to what was expected, and what has been supposed by some authors (Aguilera-Hermida, 2020; Islam et al., 2020; Kiraly et al., 2020; Papouli et al., 2020; Galvin et al., 2021), the return to </w:t>
      </w:r>
      <w:r>
        <w:rPr>
          <w:rFonts w:ascii="Garamond" w:hAnsi="Garamond" w:hint="default"/>
          <w:sz w:val="24"/>
          <w:szCs w:val="24"/>
          <w:rtl w:val="0"/>
          <w:lang w:val="en-US"/>
          <w14:textOutline w14:w="12700" w14:cap="flat">
            <w14:noFill/>
            <w14:miter w14:lim="400000"/>
          </w14:textOutline>
        </w:rPr>
        <w:t>“</w:t>
      </w:r>
      <w:r>
        <w:rPr>
          <w:rFonts w:ascii="Garamond" w:hAnsi="Garamond"/>
          <w:sz w:val="24"/>
          <w:szCs w:val="24"/>
          <w:rtl w:val="0"/>
          <w:lang w:val="en-US"/>
          <w14:textOutline w14:w="12700" w14:cap="flat">
            <w14:noFill/>
            <w14:miter w14:lim="400000"/>
          </w14:textOutline>
        </w:rPr>
        <w:t>normal life</w:t>
      </w:r>
      <w:r>
        <w:rPr>
          <w:rFonts w:ascii="Garamond" w:hAnsi="Garamond" w:hint="default"/>
          <w:sz w:val="24"/>
          <w:szCs w:val="24"/>
          <w:rtl w:val="0"/>
          <w:lang w:val="en-US"/>
          <w14:textOutline w14:w="12700" w14:cap="flat">
            <w14:noFill/>
            <w14:miter w14:lim="400000"/>
          </w14:textOutline>
        </w:rPr>
        <w:t xml:space="preserve">” </w:t>
      </w:r>
      <w:r>
        <w:rPr>
          <w:rFonts w:ascii="Garamond" w:hAnsi="Garamond"/>
          <w:sz w:val="24"/>
          <w:szCs w:val="24"/>
          <w:rtl w:val="0"/>
          <w:lang w:val="en-US"/>
          <w14:textOutline w14:w="12700" w14:cap="flat">
            <w14:noFill/>
            <w14:miter w14:lim="400000"/>
          </w14:textOutline>
        </w:rPr>
        <w:t>has not generated an improvement in psychological well-being but has probably generated new environmental demands that students are trying to adapt to.</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 necessary consideration regards the type of sampling. It is possible that our sample, although large and composed of students from various majors, is not completely representative of the students from the University of Parma because the students were all voluntarily participating in a clinical psychology study, in which their own psychological and/or emotional distress was a motivational factor. For these reasons we decided to compare, as past authors have done (Meda et al., 2020; Bolatov et al., 2021; Zurlo et al., 2022), the results of the SQ (for anxiety, depression, somatic complaints, and hostility) of these subjects with those of a study dating back to 2019. The research conducted 3 years ago (pre-Covid-19) was also composed of volunteers who had been asked to participate in an observational study on anxiety and stress (which had very similar purposes to the post-Covid research). For this reason, the authors considered it possible to make a comparison between groups to highlight the significance of the increase in pre-post pandemic symptoms. In fact, through this comparison it is possible to argue that there has been a significant increase in anxiety, depression, and somatic complaints. This data confirms previous studies results that have shown how the pandemic actually decreased the psychological well-being of students (Cao et al., 2020; Husky et al., 2020; Galvin et al., 2021; Rusch et al., 2021). However, the worrying aspect is that this difference remains even in the submissive phase of the pandemic, which, as already mentioned above, should have favored the restoration of the level of psycho-physical health.</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 further aim of this study was to investigate the role of some personality factors on the manifestations of distress. The literature includes numerous studies on psychological symptoms in a pandemic period and the role of external and internal factors that modulate their manifestations (Volken et al., 2021; Rainford et al., 2021). However, at present, few studies have evaluated the predictive role of stable personality traits (Baiano et al., 2020; Biondi et al., 2021).</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By carrying out a descriptive analysis of individual factors, interesting aspects emerged in our sample. Considering the P Stress Questionnaire, it is possible to observe some behaviors of a lifestyle predisposed to the onset of stress-related physical disorders. First of all, problems, difficulties, and somatic complaints were referable to stress disorders (on Stress Disorders scale). In addition, a medium-high score emerged on the Spare Time scale which indicates the difficulty in "disconnecting" from commitments and the ability to relax following work/school activities. The absence of psychophysical recovery, necessary after psychophysiological activation, is one of the characteristics most found in patients suffering from stress disorders. However, it is also true that in recent years the measures to combat and contain the spread of the Covid-19 virus have significantly affected the free time and leisure activities for Italians citizens, as the government has severely limited their development.</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Clinically significant characteristics also emerge from the analysis of the personality traits. The highest score is that of the Tension scale (Q4 factor), which indicated that the subjects who obtain high scores tend to be agitated and restless when they are made to wait (Sirigatti &amp; Stefanile, 2001). A certain degree of tension can be channeled and motivate the action but an extremely high tension can lead to impatience and irritability. The source of the tension reflects both the characteristic tension of the person and the tension characteristic of his current life situation. In other words, it is possible that the pandemic has increased levels of tension and motivation for action, but it is also hindered and not adequately directed. Considering that the factor Q4 may reflect the last period of life, it is possible to argue that Covid-19 is affecting not only the psychological state but also the subjects</w:t>
      </w:r>
      <w:r>
        <w:rPr>
          <w:rFonts w:ascii="Garamond" w:hAnsi="Garamond" w:hint="default"/>
          <w:sz w:val="24"/>
          <w:szCs w:val="24"/>
          <w:rtl w:val="0"/>
          <w:lang w:val="en-US"/>
          <w14:textOutline w14:w="12700" w14:cap="flat">
            <w14:noFill/>
            <w14:miter w14:lim="400000"/>
          </w14:textOutline>
        </w:rPr>
        <w:t xml:space="preserve">’ </w:t>
      </w:r>
      <w:r>
        <w:rPr>
          <w:rFonts w:ascii="Garamond" w:hAnsi="Garamond"/>
          <w:sz w:val="24"/>
          <w:szCs w:val="24"/>
          <w:rtl w:val="0"/>
          <w:lang w:val="en-US"/>
          <w14:textOutline w14:w="12700" w14:cap="flat">
            <w14:noFill/>
            <w14:miter w14:lim="400000"/>
          </w14:textOutline>
        </w:rPr>
        <w:t xml:space="preserve">stable traits. For instance, another factor of anxiety that emerges is Emotional Stability (factor C). This factor describes the level of emotional well-being and provides a measure of the ability to cope and adapt to everyday life and its challenges. According to the authors, individuals with low scores may feel some lack of control over their lives. Generally, the factor C correlates with the validity scale (Image Management) as it is considered socially desirable to know how to adapt to life. In fact, our sample shows low score on the validity scale, indicating the willingness to admit emotional difficulties. This attitude could also be interpreted as a request for help from the examiner. Another trait of anxiety that emerges is Vigilance, which had a medium-high score and indicates that the subjects tend to maintain a high level of alertness and psycho-physiological activation. In addition to the traits of anxiety and neuroticism, </w:t>
      </w:r>
      <w:r>
        <w:rPr>
          <w:rFonts w:ascii="Garamond" w:hAnsi="Garamond"/>
          <w:sz w:val="24"/>
          <w:szCs w:val="24"/>
          <w:rtl w:val="0"/>
          <w14:textOutline w14:w="12700" w14:cap="flat">
            <w14:noFill/>
            <w14:miter w14:lim="400000"/>
          </w14:textOutline>
        </w:rPr>
        <w:t xml:space="preserve">other factors </w:t>
      </w:r>
      <w:r>
        <w:rPr>
          <w:rFonts w:ascii="Garamond" w:hAnsi="Garamond"/>
          <w:sz w:val="24"/>
          <w:szCs w:val="24"/>
          <w:rtl w:val="0"/>
          <w:lang w:val="en-US"/>
          <w14:textOutline w14:w="12700" w14:cap="flat">
            <w14:noFill/>
            <w14:miter w14:lim="400000"/>
          </w14:textOutline>
        </w:rPr>
        <w:t xml:space="preserve">seem to be attributable to the domain of interpersonal and social relationships. In particular, the N and Q2 factors of 16 PF, are not within the normal range and means that these people are </w:t>
      </w:r>
      <w:r>
        <w:rPr>
          <w:rFonts w:ascii="Garamond" w:hAnsi="Garamond"/>
          <w:sz w:val="24"/>
          <w:szCs w:val="24"/>
          <w:rtl w:val="0"/>
          <w:lang w:val="en-US"/>
        </w:rPr>
        <w:t>inhibited and</w:t>
      </w:r>
      <w:r>
        <w:rPr>
          <w:rFonts w:ascii="Garamond" w:hAnsi="Garamond"/>
          <w:sz w:val="24"/>
          <w:szCs w:val="24"/>
          <w:rtl w:val="0"/>
          <w:lang w:val="en-US"/>
          <w14:textOutline w14:w="12700" w14:cap="flat">
            <w14:noFill/>
            <w14:miter w14:lim="400000"/>
          </w14:textOutline>
        </w:rPr>
        <w:t xml:space="preserve"> cautious in social contexts while, at the same time, tend to affiliate due to low self-confidence. This aspect of ambivalence is generally frequent in introverted people where a certain dependence on some significant figures is associated with fear of new social contexts (Biondi et al., 2021). Furthermore, it could be said that in this sample neuroticism and introversion traits are the prevailing personality characteristics.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Generally, these two personality traits are associated with a greater vulnerability to stress and a higher incidence of mental disorders (Ormel, Riese &amp; Rosmalen, 2012; Arias et al 2020). As already mentioned above, it is possible to hypothesize that the volunteers who decided to participate in the study are the most sensitive and have suffered more than others during the pandemic period. However, it cannot be excluded that among the effects of the pandemic, and of all the government measures adopted, there are difficulties in managing emotions and an alteration of emotional-relational development that manifests with social withdrawal and prudence in interpersonal relationships.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In addition to these descriptive considerations, the main aim that has guided the present research concerns is the role of personality characteristics in the modulation of psychological symptoms. Regression analyses confirm that there is an importance of personality traits on mental health. Considering anxiety, personality traits that can accentuate the symptoms are nervous tension, emotional instability, and a lack of openness to change. Furthermore, the validity scale is also a predictor of anxiety, and this means that an increase in anxious activation corresponds to a decrease in defenses aimed at offering a better self-image. With this all in mind, it is also true that the inability to devote time to leisure activities favors the maintenance of high levels of psychophysiological activation. This result highlights how important moments of leisure are to recover the psychophysical energies invested in work/school commitments. Furthermore, somatizations are also caused by personality traits such as emotional instability, apprehension, and alertness. Indeed, high levels of alertness and a high degree of worry and apprehension favor the maintenance of high levels of psychophysiological activation (Pruneti et al., 2021; Pruneti et al., 2022). Moreover, tension and emotional instability are involved in the modulation of the levels of hostility and irritability. In other words, high nervous tension, together with emotional instability and difficulty in adapting to new situations and changes, generates an alteration in the mood that is irritable. However, among these factors there is expansiveness. This result confirms what is already present in the literature about the effects of the manifestation or repression of emotions (Kline, Fekete, &amp; Sears, 2008). In fact, reserved, detached, and nonsocial people tend not to express their emotions, especially the negative ones, such as anger. This tendency to control their anger does not correspond to an adequate management of emotions and generates further suffering (Apg</w:t>
      </w:r>
      <w:r>
        <w:rPr>
          <w:rFonts w:ascii="Garamond" w:hAnsi="Garamond" w:hint="default"/>
          <w:sz w:val="24"/>
          <w:szCs w:val="24"/>
          <w:rtl w:val="0"/>
          <w:lang w:val="en-US"/>
          <w14:textOutline w14:w="12700" w14:cap="flat">
            <w14:noFill/>
            <w14:miter w14:lim="400000"/>
          </w14:textOutline>
        </w:rPr>
        <w:t>á</w:t>
      </w:r>
      <w:r>
        <w:rPr>
          <w:rFonts w:ascii="Garamond" w:hAnsi="Garamond"/>
          <w:sz w:val="24"/>
          <w:szCs w:val="24"/>
          <w:rtl w:val="0"/>
          <w:lang w:val="en-US"/>
          <w14:textOutline w14:w="12700" w14:cap="flat">
            <w14:noFill/>
            <w14:miter w14:lim="400000"/>
          </w14:textOutline>
        </w:rPr>
        <w:t>ua &amp; Jaeger, 2019). On the other hand, an alteration in mood oriented towards the depressive sense seems to have different predictors from those of hostility. In addition to th</w:t>
      </w:r>
      <w:r>
        <w:rPr>
          <w:rFonts w:ascii="Garamond" w:hAnsi="Garamond"/>
          <w:sz w:val="24"/>
          <w:szCs w:val="24"/>
          <w:rtl w:val="0"/>
          <w:lang w:val="it-IT"/>
          <w14:textOutline w14:w="12700" w14:cap="flat">
            <w14:noFill/>
            <w14:miter w14:lim="400000"/>
          </w14:textOutline>
        </w:rPr>
        <w:t>e</w:t>
      </w:r>
      <w:r>
        <w:rPr>
          <w:rFonts w:ascii="Garamond" w:hAnsi="Garamond"/>
          <w:sz w:val="24"/>
          <w:szCs w:val="24"/>
          <w:rtl w:val="0"/>
          <w:lang w:val="en-US"/>
          <w14:textOutline w14:w="12700" w14:cap="flat">
            <w14:noFill/>
            <w14:miter w14:lim="400000"/>
          </w14:textOutline>
        </w:rPr>
        <w:t xml:space="preserve"> tension, which already predicts anxiety and hostility, the configuration of the introverted personality emerges. In particular, a decrease in social audacity corresponds to an increase in depressive manifestations. Thus, it is possible to argue that shy, cautious, and fearful in social settings people experience more intense depressive symptoms. Similarly, to what emerged with the manifestations of hostility, the importance of social involvement and support as a protective factor against mood changes also emerges in the case of depression. In the case of mood drop, it seems that people suffer more of it if they experience discomfort, lack of self-esteem, and embarrassment in social contexts. This data assumes further importance given the current phase of the pandemic. In fact, the resumption of face-to-face activities has once again put shy and insecure people in difficulty.</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 xml:space="preserve">Overall, the best predictor of psychological symptoms (anxiety, depression, and hostility) was found to be nervous tension. It seems that the psycho-physiological hyperactivation does not correspond to an adequate channeling of energies. It is possible to hypothesize that the pandemic has disrupted people's plans and that it will take some time before regaining management over the environment and one's life. </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However, it is important to underline that the authors of 16-PF (Sirigatti &amp; Stefanile, 2001) highlight a positive aspect of the Q4 factor (Nervous tension). They underline that this trait can reflect the motivational drive of subjects to act, therefore it can be addressed in functional way. In this study, the participants were given the opportunity to receive a clinical response and to discuss with the psychologist the eventual need to undertake a psychological intervention. Specifically, this was possible for a part of the sample, as 30% of them booked a second appointment to discuss the results of the tests. In addition, about a third of this minority was sent to a mental health specialist. Therefore, we tried to accommodate the request for help, wherever possible.</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At the same time, other personality traits modulate the manifestation of psychological symptoms. For example, among the predictors of anxiety, hostility, and somatic complaints there is the factor of emotional stability, which corresponds to emotional self-regulation skills. Furthermore, both anxiety and hostility are predictors to openness to change. Therefore, between the causes of the two emotions characterized by high levels of arousal there is the tendency to mental rigidity and the rejection of new situations. Finally, specifically with regard to mood alterations, social involvement and participation seem to play an important role. As for hostility, it seems that the symptoms are accentuated in people who do not express and do not share them. On the other hand, in the manifestation of depressive symptoms it seems that personality traits such as social withdrawal, embarrassment, and low self-esteem affect more.</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Although these are preliminary data on a sample of volunteer students from the University of Parma, some interesting clinical considerations have emerged. Highlighting the personality traits involved in the manifestation of distress allows identification of these stable factors that characterize individuals, regardless of their period of life. For this reason, it is important to carry out a trait analysis when people are experiencing periods of high stress (as in the case of the pandemic) in order to identify the category of people most suffering and who possess those characteristics that further accentuate their psychological distress. Beyond this, the analysis of individual factors can be useful also for preventive purposes to intercept people at risk for mental disorders even before a stressful event exacerbates the symptoms.</w:t>
      </w:r>
    </w:p>
    <w:p>
      <w:pPr>
        <w:pStyle w:val="Normal.0"/>
        <w:shd w:val="clear" w:color="auto" w:fill="ffffff"/>
        <w:tabs>
          <w:tab w:val="left" w:pos="916"/>
          <w:tab w:val="left" w:pos="1832"/>
          <w:tab w:val="left" w:pos="2748"/>
          <w:tab w:val="left" w:pos="3664"/>
          <w:tab w:val="left" w:pos="4580"/>
          <w:tab w:val="left" w:pos="5496"/>
          <w:tab w:val="left" w:pos="6412"/>
          <w:tab w:val="left" w:pos="7328"/>
          <w:tab w:val="left" w:pos="8244"/>
          <w:tab w:val="left" w:pos="9132"/>
        </w:tabs>
        <w:spacing w:after="0" w:line="360" w:lineRule="auto"/>
        <w:jc w:val="both"/>
        <w:rPr>
          <w:rFonts w:ascii="Garamond" w:cs="Garamond" w:hAnsi="Garamond" w:eastAsia="Garamond"/>
          <w:sz w:val="24"/>
          <w:szCs w:val="24"/>
          <w:lang w:val="en-US"/>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both"/>
        <w:outlineLvl w:val="9"/>
        <w:rPr>
          <w:rFonts w:ascii="Garamond" w:cs="Garamond" w:hAnsi="Garamond" w:eastAsia="Garamond"/>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Conclusion</w:t>
      </w:r>
    </w:p>
    <w:p>
      <w:pPr>
        <w:keepNext w:val="0"/>
        <w:keepLines w:val="0"/>
        <w:pageBreakBefore w:val="0"/>
        <w:widowControl w:val="1"/>
        <w:shd w:val="clear" w:color="auto" w:fill="auto"/>
        <w:suppressAutoHyphens w:val="0"/>
        <w:bidi w:val="0"/>
        <w:spacing w:before="0" w:after="0" w:line="360" w:lineRule="auto"/>
        <w:ind w:left="0" w:right="0" w:firstLine="0"/>
        <w:jc w:val="both"/>
        <w:outlineLvl w:val="9"/>
        <w:rPr>
          <w:rFonts w:ascii="Garamond" w:cs="Garamond" w:hAnsi="Garamond" w:eastAsia="Garamond"/>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360" w:lineRule="auto"/>
        <w:ind w:left="0" w:right="0" w:firstLine="0"/>
        <w:jc w:val="both"/>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Consistent with previous studies, our work has confirmed that the levels of psychological suffering have increased following the pandemic and that, despite the gradual de-implementation of the measures to contain the infection, a return to pre-Covid levels is not yet observable. Furthermore, it is possible to argue that even the return to </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normal life" may have created changes and new demands to which it is necessary to adapt. Moreover, for some people, this may have generated a greater alteration of the psychological balance than others may. Precisely, with respect to this point, our research wanted to offer its own contribution. Given that only two studies have focused on the predictive power of personality traits, in the current study the focus is precisely on this aspect. Personality traits related to neuroticism and introversion seem to be the most involved. This aligns with the existing literature on vulnerability to stress. However, it cannot be ruled out that the pandemic and the restrictive measures have precisely solicited those risk factors related to the onset of mental disorders. In fact, it is possible to argue that the last two years have altered people's lives and have strongly hindered the sociality and development of emotional-relational skills of young adults. However, it is also possible that the sample in our study is mostly made up of those people vulnerable to stress who seek psychological help. In any case, knowing that there are personality factors that predict the manifestation of psychological distress facilitates clinicians in their practice. Therefore, it would be useful to implement counseling services in schools and universities in order to intercept those vulnerable people. In addition, intervening on risk factors might slow down the onset of mental disorders. Nonetheless, it is necessary to intervene if there are really periods of high stress, such as this of the pandemic, to intercept even the hidden demand and encourage adherence to psychological interventions.</w:t>
      </w:r>
    </w:p>
    <w:p>
      <w:pPr>
        <w:pStyle w:val="Normal.0"/>
        <w:spacing w:line="360" w:lineRule="auto"/>
        <w:jc w:val="center"/>
        <w:rPr>
          <w:rFonts w:ascii="Garamond" w:cs="Garamond" w:hAnsi="Garamond" w:eastAsia="Garamond"/>
          <w:sz w:val="24"/>
          <w:szCs w:val="24"/>
        </w:rPr>
      </w:pPr>
    </w:p>
    <w:p>
      <w:pPr>
        <w:pStyle w:val="Normal.0"/>
        <w:spacing w:line="360" w:lineRule="auto"/>
        <w:rPr>
          <w:rFonts w:ascii="Garamond" w:cs="Garamond" w:hAnsi="Garamond" w:eastAsia="Garamond"/>
        </w:rPr>
      </w:pPr>
      <w:r>
        <w:rPr>
          <w:rFonts w:ascii="Garamond" w:hAnsi="Garamond"/>
          <w:b w:val="1"/>
          <w:bCs w:val="1"/>
          <w:sz w:val="24"/>
          <w:szCs w:val="24"/>
          <w:rtl w:val="0"/>
          <w:lang w:val="en-US"/>
        </w:rPr>
        <w:t xml:space="preserve">Ethical approval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rtl w:val="0"/>
          <w:lang w:val="en-US"/>
        </w:rPr>
        <w:t>Approval from the Institutional Review Board (IRB) at the University of Parma was obtained. All the data have been performed in accordance with the ethical standards laid down in the 1964 Declaration of Helsinki.</w:t>
      </w:r>
    </w:p>
    <w:p>
      <w:pPr>
        <w:pStyle w:val="Normal.0"/>
        <w:spacing w:line="360" w:lineRule="auto"/>
        <w:rPr>
          <w:rFonts w:ascii="Garamond" w:cs="Garamond" w:hAnsi="Garamond" w:eastAsia="Garamond"/>
        </w:rPr>
      </w:pPr>
      <w:r>
        <w:rPr>
          <w:rFonts w:ascii="Garamond" w:hAnsi="Garamond"/>
          <w:b w:val="1"/>
          <w:bCs w:val="1"/>
          <w:sz w:val="24"/>
          <w:szCs w:val="24"/>
          <w:rtl w:val="0"/>
          <w:lang w:val="en-US"/>
        </w:rPr>
        <w:t>Informed Consent Statement:</w:t>
      </w:r>
      <w:r>
        <w:rPr>
          <w:rFonts w:ascii="Garamond" w:hAnsi="Garamond"/>
          <w:sz w:val="24"/>
          <w:szCs w:val="24"/>
          <w:rtl w:val="0"/>
          <w:lang w:val="en-US"/>
        </w:rPr>
        <w:t xml:space="preserve"> </w:t>
      </w:r>
      <w:r>
        <w:rPr>
          <w:rFonts w:ascii="Garamond" w:hAnsi="Garamond"/>
          <w:rtl w:val="0"/>
          <w:lang w:val="en-US"/>
        </w:rPr>
        <w:t>Written informed consent was obtained from each participant/patient for study participation and data publication.</w:t>
      </w:r>
    </w:p>
    <w:p>
      <w:pPr>
        <w:pStyle w:val="Normal.0"/>
        <w:spacing w:line="360" w:lineRule="auto"/>
        <w:rPr>
          <w:rFonts w:ascii="Garamond" w:cs="Garamond" w:hAnsi="Garamond" w:eastAsia="Garamond"/>
        </w:rPr>
      </w:pPr>
      <w:r>
        <w:rPr>
          <w:rFonts w:ascii="Garamond" w:hAnsi="Garamond"/>
          <w:b w:val="1"/>
          <w:bCs w:val="1"/>
          <w:sz w:val="24"/>
          <w:szCs w:val="24"/>
          <w:rtl w:val="0"/>
          <w:lang w:val="en-US"/>
        </w:rPr>
        <w:t xml:space="preserve">Data Availability Statement </w:t>
      </w:r>
      <w:r>
        <w:rPr>
          <w:rFonts w:ascii="Garamond" w:hAnsi="Garamond"/>
          <w:b w:val="1"/>
          <w:bCs w:val="1"/>
          <w:sz w:val="24"/>
          <w:szCs w:val="24"/>
          <w:vertAlign w:val="superscript"/>
          <w:rtl w:val="0"/>
          <w:lang w:val="en-US"/>
        </w:rPr>
        <w:t>*</w:t>
      </w:r>
      <w:r>
        <w:rPr>
          <w:rFonts w:ascii="Garamond" w:hAnsi="Garamond"/>
          <w:b w:val="1"/>
          <w:bCs w:val="1"/>
          <w:sz w:val="24"/>
          <w:szCs w:val="24"/>
          <w:rtl w:val="0"/>
          <w:lang w:val="en-US"/>
        </w:rPr>
        <w:t xml:space="preserve">: </w:t>
      </w:r>
      <w:r>
        <w:rPr>
          <w:rFonts w:ascii="Garamond" w:hAnsi="Garamond"/>
          <w:sz w:val="24"/>
          <w:szCs w:val="24"/>
          <w:rtl w:val="0"/>
          <w:lang w:val="en-US"/>
        </w:rPr>
        <w:t>The data described in this article are openly available upon request to the corresponding Author.</w:t>
      </w:r>
    </w:p>
    <w:p>
      <w:pPr>
        <w:pStyle w:val="Normal.0"/>
        <w:spacing w:line="360" w:lineRule="auto"/>
        <w:rPr>
          <w:rFonts w:ascii="Garamond" w:cs="Garamond" w:hAnsi="Garamond" w:eastAsia="Garamond"/>
        </w:rPr>
      </w:pPr>
      <w:r>
        <w:rPr>
          <w:rFonts w:ascii="Garamond" w:hAnsi="Garamond"/>
          <w:b w:val="1"/>
          <w:bCs w:val="1"/>
          <w:sz w:val="24"/>
          <w:szCs w:val="24"/>
          <w:rtl w:val="0"/>
          <w:lang w:val="en-US"/>
        </w:rPr>
        <w:t xml:space="preserve">Conflict of interest statement </w:t>
      </w:r>
      <w:r>
        <w:rPr>
          <w:rFonts w:ascii="Garamond" w:hAnsi="Garamond"/>
          <w:b w:val="1"/>
          <w:bCs w:val="1"/>
          <w:sz w:val="24"/>
          <w:szCs w:val="24"/>
          <w:vertAlign w:val="superscript"/>
          <w:rtl w:val="0"/>
          <w:lang w:val="en-US"/>
        </w:rPr>
        <w:t>*</w:t>
      </w:r>
      <w:r>
        <w:rPr>
          <w:rFonts w:ascii="Garamond" w:hAnsi="Garamond"/>
          <w:b w:val="1"/>
          <w:bCs w:val="1"/>
          <w:sz w:val="24"/>
          <w:szCs w:val="24"/>
          <w:rtl w:val="0"/>
          <w:lang w:val="en-US"/>
        </w:rPr>
        <w:t>:</w:t>
      </w:r>
      <w:r>
        <w:rPr>
          <w:rFonts w:ascii="Garamond" w:hAnsi="Garamond"/>
          <w:sz w:val="24"/>
          <w:szCs w:val="24"/>
          <w:rtl w:val="0"/>
          <w:lang w:val="en-US"/>
        </w:rPr>
        <w:t xml:space="preserve"> The Authors declare no conflict of interest.</w:t>
      </w:r>
    </w:p>
    <w:p>
      <w:pPr>
        <w:pStyle w:val="Normal.0"/>
        <w:spacing w:line="360" w:lineRule="auto"/>
        <w:rPr>
          <w:rFonts w:ascii="Garamond" w:cs="Garamond" w:hAnsi="Garamond" w:eastAsia="Garamond"/>
        </w:rPr>
      </w:pPr>
      <w:r>
        <w:rPr>
          <w:rFonts w:ascii="Garamond" w:hAnsi="Garamond"/>
          <w:b w:val="1"/>
          <w:bCs w:val="1"/>
          <w:sz w:val="24"/>
          <w:szCs w:val="24"/>
          <w:rtl w:val="0"/>
          <w:lang w:val="en-US"/>
        </w:rPr>
        <w:t xml:space="preserve">Funding: </w:t>
      </w:r>
      <w:r>
        <w:rPr>
          <w:rFonts w:ascii="Garamond" w:hAnsi="Garamond"/>
          <w:sz w:val="24"/>
          <w:szCs w:val="24"/>
          <w:rtl w:val="0"/>
          <w:lang w:val="en-US"/>
        </w:rPr>
        <w:t>This research did not receive any specific grant from funding agencies in the public, commercial, or not-for- profit sectors.</w:t>
      </w:r>
    </w:p>
    <w:p>
      <w:pPr>
        <w:pStyle w:val="Normal.0"/>
        <w:spacing w:line="360" w:lineRule="auto"/>
        <w:rPr>
          <w:rFonts w:ascii="Garamond" w:cs="Garamond" w:hAnsi="Garamond" w:eastAsia="Garamond"/>
        </w:rPr>
      </w:pPr>
      <w:r>
        <w:rPr>
          <w:rFonts w:ascii="Garamond" w:hAnsi="Garamond"/>
          <w:b w:val="1"/>
          <w:bCs w:val="1"/>
          <w:sz w:val="24"/>
          <w:szCs w:val="24"/>
          <w:rtl w:val="0"/>
          <w:lang w:val="en-US"/>
        </w:rPr>
        <w:t xml:space="preserve">Author Contributions </w:t>
      </w:r>
      <w:r>
        <w:rPr>
          <w:rFonts w:ascii="Garamond" w:hAnsi="Garamond"/>
          <w:b w:val="1"/>
          <w:bCs w:val="1"/>
          <w:sz w:val="24"/>
          <w:szCs w:val="24"/>
          <w:vertAlign w:val="superscript"/>
          <w:rtl w:val="0"/>
          <w:lang w:val="en-US"/>
        </w:rPr>
        <w:t xml:space="preserve">* </w:t>
      </w:r>
      <w:r>
        <w:rPr>
          <w:rFonts w:ascii="Garamond" w:hAnsi="Garamond"/>
          <w:b w:val="1"/>
          <w:bCs w:val="1"/>
          <w:sz w:val="24"/>
          <w:szCs w:val="24"/>
          <w:rtl w:val="0"/>
          <w:lang w:val="en-US"/>
        </w:rPr>
        <w:t xml:space="preserve">: </w:t>
      </w:r>
      <w:r>
        <w:rPr>
          <w:rFonts w:ascii="Garamond" w:hAnsi="Garamond"/>
          <w:sz w:val="24"/>
          <w:szCs w:val="24"/>
          <w:rtl w:val="0"/>
          <w:lang w:val="it-IT"/>
        </w:rPr>
        <w:t>The Authors equally contributed to this work.</w:t>
      </w:r>
      <w:r>
        <w:rPr>
          <w:rFonts w:ascii="Garamond" w:hAnsi="Garamond"/>
          <w:sz w:val="24"/>
          <w:szCs w:val="24"/>
          <w:rtl w:val="0"/>
          <w:lang w:val="en-US"/>
        </w:rPr>
        <w:t xml:space="preserve">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Aguilera-Hermida, A. P. (2020). College students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use and acceptance of emergency online learning due to COVID-19.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Int. J. Educ. Res. Open</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:100011. doi: 10.1016/j.ijedro.2020.100011 </w:t>
      </w:r>
    </w:p>
    <w:p>
      <w:pPr>
        <w:pStyle w:val="Normal.0"/>
        <w:tabs>
          <w:tab w:val="left" w:pos="700"/>
          <w:tab w:val="left" w:pos="1400"/>
          <w:tab w:val="left" w:pos="2100"/>
          <w:tab w:val="left" w:pos="2820"/>
          <w:tab w:val="left" w:pos="3520"/>
          <w:tab w:val="left" w:pos="4240"/>
          <w:tab w:val="left" w:pos="4940"/>
          <w:tab w:val="left" w:pos="5640"/>
          <w:tab w:val="left" w:pos="6360"/>
          <w:tab w:val="left" w:pos="7060"/>
          <w:tab w:val="left" w:pos="7760"/>
          <w:tab w:val="left" w:pos="8480"/>
          <w:tab w:val="left" w:pos="9132"/>
        </w:tabs>
        <w:suppressAutoHyphens w:val="1"/>
        <w:spacing w:after="200" w:line="360" w:lineRule="auto"/>
        <w:jc w:val="both"/>
        <w:outlineLvl w:val="0"/>
        <w:rPr>
          <w:rFonts w:ascii="Garamond" w:cs="Garamond" w:hAnsi="Garamond" w:eastAsia="Garamond"/>
          <w:sz w:val="24"/>
          <w:szCs w:val="24"/>
          <w:lang w:val="en-US"/>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Apg</w:t>
      </w:r>
      <w:r>
        <w:rPr>
          <w:rFonts w:ascii="Garamond" w:hAnsi="Garamond" w:hint="default"/>
          <w:sz w:val="24"/>
          <w:szCs w:val="24"/>
          <w:rtl w:val="0"/>
          <w:lang w:val="en-US"/>
          <w14:textOutline w14:w="12700" w14:cap="flat">
            <w14:noFill/>
            <w14:miter w14:lim="400000"/>
          </w14:textOutline>
        </w:rPr>
        <w:t>á</w:t>
      </w:r>
      <w:r>
        <w:rPr>
          <w:rFonts w:ascii="Garamond" w:hAnsi="Garamond"/>
          <w:sz w:val="24"/>
          <w:szCs w:val="24"/>
          <w:rtl w:val="0"/>
          <w:lang w:val="en-US"/>
          <w14:textOutline w14:w="12700" w14:cap="flat">
            <w14:noFill/>
            <w14:miter w14:lim="400000"/>
          </w14:textOutline>
        </w:rPr>
        <w:t xml:space="preserve">ua, L.T., &amp; Jaeger, A. (2019). Memory for emotional information and alexithymia A systematic review. </w:t>
      </w:r>
      <w:r>
        <w:rPr>
          <w:rFonts w:ascii="Garamond" w:hAnsi="Garamond"/>
          <w:i w:val="1"/>
          <w:iCs w:val="1"/>
          <w:sz w:val="24"/>
          <w:szCs w:val="24"/>
          <w:rtl w:val="0"/>
          <w:lang w:val="en-US"/>
          <w14:textOutline w14:w="12700" w14:cap="flat">
            <w14:noFill/>
            <w14:miter w14:lim="400000"/>
          </w14:textOutline>
        </w:rPr>
        <w:t>Dement Neuropsychol, 13</w:t>
      </w:r>
      <w:r>
        <w:rPr>
          <w:rFonts w:ascii="Garamond" w:hAnsi="Garamond"/>
          <w:sz w:val="24"/>
          <w:szCs w:val="24"/>
          <w:rtl w:val="0"/>
          <w:lang w:val="en-US"/>
          <w14:textOutline w14:w="12700" w14:cap="flat">
            <w14:noFill/>
            <w14:miter w14:lim="400000"/>
          </w14:textOutline>
        </w:rPr>
        <w:t>(1):22-30. doi: 10.1590/1980-57642018dn13-010003.</w:t>
      </w:r>
      <w:r>
        <w:rPr>
          <w:rFonts w:ascii="Garamond" w:hAnsi="Garamond" w:hint="default"/>
          <w:sz w:val="24"/>
          <w:szCs w:val="24"/>
          <w:rtl w:val="0"/>
          <w:lang w:val="en-US"/>
          <w14:textOutline w14:w="12700" w14:cap="flat">
            <w14:noFill/>
            <w14:miter w14:lim="400000"/>
          </w14:textOutline>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Arias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J.A.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Williams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C., Raghvani, R., Aghajani, M., Baez,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Belzung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Booij</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L., Busatto, G., Chiarella, J., Fu, C.H., Ibanez,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Liddell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B.J., Lowe, L., Penninx, B.</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W</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.J.H., Rosa, P., Kemp, A.H. (2020). The neuroscience of sadness: A multidisciplinary synthesis and collaborative review.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Neurosci Biobehav Rev, 111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:199-228 doi: 10 1016/j neubiorev 2020 01 006.</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Auerbach, R. P., Mortier, P., Bruffaerts, R., Alonso, J., Benjet, C., Cuijpers, P., et al. (2018). WHO world mental health surveys international college student project: prevalence and distribution of mental disorders.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J. Abnorm. Psychol, 127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623</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638. doi: 10.1037/abn0000362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Baiano, C., Zappullo, I., The LabNPEE Group, Conson, M. (2020). Tendency to Worry and Fear of Mental Health during Italy's COVID-19 Lockdown.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Int J Environ Res Public Health, 15</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;17(16):5928. doi: 10.3390/ijerph17165928.</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Balt</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à</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-Salvador, R., Olmedo-Torre, N., Pe</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ñ</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 M., and Renta-Davids, A. I. (2021). Academic and emotional effects of online learning during the COVID-19 pandemic on engineering students.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Educ. Inf. Technol, 26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7407</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7434. doi: 10.1007/s10639-021-10593-1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Becerra-Garc</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í</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a, J. A., 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á</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nchez-Guti</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é</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rrez, T., Barbeito, S., and Calvo, A. (2021). COVID-19 pandemic and mental health in Spain: an analysis of their relationship using google trends.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Rev Psiquiatr Salud Ment.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S1888</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S1891. doi: 10.1016/j.rpsm.2021.05.001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Biondi, S., Casale,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 Burrai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J., Mazza, C., Cavaggioni, G., Ferracuti, S., Giannini, A.M. and Roma, P. (2021).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Personality and Lockdown: A Study on Italian Undergraduates During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Psychiatry, 12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:622366. doi: 10.3389/fpsyt.2021.622366</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Bolatov, A.K., Seisembekov, T.Z., Askarova, A.Z., Baikanova, R.K., Smailova, D.S., Fabbro, E. (2020). Online-Learning due to COVID-19 Improved Mental Health Among Medical Students.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Med Sci Educ, 18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;31(1):1-10. doi: 10.1007/s40670-020-01165-y.</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Browning, M.H., Larson, L.R., Sharaievska, I., Rigolon, A., McAnirlin, O., Mullenbach, L., et al. (2021). Psychological impacts from COVID-19 among university students: risk factors across seven states in the United States.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PLoS One,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16:e0245327. doi: 10.1371/journal.pone.0245327</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Bueno-Notivol, J., Gracia-Garc</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í</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 P., Olaya, B., Lasheras, I., L</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ó</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pez-Ant</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ó</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n, R., Santab</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á</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rbara, J. (2021). Prevalence of depression during the COVID-19 outbreak: a meta-analysis of community-based studies.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Int. J. Clin. Health Psychol,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21:100196. doi: 10.1016/j.ijchp.2020.07.007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Cao, W., Fang, Z., Hou, G., Han, M., Xu, X., Dong, J., et al. (2020). The psychological impact of the COVID-19 epidemic on college students in China.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Psychiatry Res, 287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:112934. doi: 10.1016/j. psychres.2020.112934</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Caspi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Sugden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K., Moffitt, T.E., Taylor, A., Craig, 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W</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Harrington, H., McClay, J.</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Mill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J.</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Martin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J., Braithwaite,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Poulton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R. (2003). Influence of life stress on depression: moderation by a polymorphism in the 5-HTT gene.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Science, 301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(5631):386-9 doi:10 1126/science 1083968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Caspi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A., Hariri, A.R., Holmes,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Uher</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R., Moffitt, T.E. (2010). Genetic sensitivity to the environment: the case of the serotonin transporter gene and its implications for studying complex diseases and traits.</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The American Journal of Psychiatry, 167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(5):509-27 doi: 10 1176/appi ajp 2010 09101452.</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Cavalera, C. (2020). Covid-19 psychological implications: the role of shame and guilt.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Psychol, 11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:571828. doi: 10.3389/fpsyg.2020.571828</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Charles, N.E., Strong, S.J., Burns, L.C., Bullerjahn, M.R., and Serafine, K.M. (2021). Increased mood disorder symptoms, perceived stress, and alcohol use among college students during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Psychiatry Res, 296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:113706. doi: 10.1016/j.psychres.2021.113706.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Dahl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R.E.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Birmaher</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B.</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Williamson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D.E., Dorn, 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Perel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J.</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Kaufman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J., Brent, D.A., Axelson, D.A., Ryan, N.D. (2000). Low growth hormone response to growth hormone-releasing hormone in child depression.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Biological Psychiatry, 48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(10):981-8 10 1016/s0006-3223(00)00932-x</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De Vincenzo, F., Cosentino, C., Quinto, R.M., Di Leo, S., Contardi, A., Guidotti, S., Iani, L., Pruneti, C. (2022).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Psychological adjustment and heart rate variability in ovarian cancer survivors.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Mediterranean Journal of Clinical Psychology, 10</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 https://doi.org/10.13129/2282-1619/mjcp-3318.</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Debowska, A., Horeczy, B., Boduszek, D., Dolinski, D. (2020). A repeated cross-sectional survey assessing university students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stress, depression, anxiety, and suicidality in the early stages of the COVID-19 pandemic in Poland.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Psychol. Med.</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1</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4. doi: 10.1017/ S003329172000392X.</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Fava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G.A.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Kellner</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R., Perini, G.I., Michelacci, L., Munari, F.</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sv-S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Evangelisti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L.P., Grandi, S., Bernardi, M., Mastrogiacomo, I. (1983).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Italian validation of the Symptom Rating Test (SRT) and Symptom Questionnaire (SQ). </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Can J Psychiatry, 28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(2): 117-123</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Filho, W.L., Wall, T., Rayman-Bacchus, L., Mifsud, M., Pritchard, D.J., Lovren, V.O., et al. (2021). Impacts of COVID-19 and social isolation on academic staff and students at universities: a cross-sectional study.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BMC Public Health, 21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1213</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1219. doi: 10.1186/s12889-021-11040-z</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Galvin, J., Evans, M.S., Nelson, K., Richards, G., Mavritsaki, E., Giovazolias, T., et al. (2021). Technostress, coping, and anxious and depressive symptomatology in university students during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Eur. J. Psychol.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doi: 10.5964/ejop4725</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Gritsenko, V., Skugarevsky, O., Konstantinov, V., Khamenka, N., Marinova, T., Reznik, A., et al. (2020). COVID 19 fear, stress, anxiety, and substance use among Russian and Belarusian university students.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Int. J. Ment. Heal. Addict, 19</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2362</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2368. doi: 10.1007/s11469-020-00330-z</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Herane-Vives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Fischer</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de Angel</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V.</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Wise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Cheung</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E., Chua, K.C., Arnone, D., Young, A.H., Cleare, A.J. (2018). Elevated fingernail cortisol levels in major depressive episodes.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Psychoneuroendocrinology, 88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:17-23 10 1016/j psyneuen 2017 10 026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Husky, M.M., Kovess-Masfety, V., and Swendsen, J. D. (2020). Stress and anxiety among university students in France during Covid-19 mandatory confinement.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Compr. Psychiatry, 102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:152191. doi: 10.1016/j. comppsych.2020.152191</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Islam, M.A., Barna, S.D., Raihan, H., Khan, M.N.A., and Hossain, M.T. (2020). Depression and anxiety among university students during the COVID-19 pandemic in Bangladesh: a web-based cross-sectional survey.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PLoS One,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15:e0238162. doi: 10.1371/journal.pone.0238162</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Kellner, R. (1976).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Abridged manual of the Symptom Questionnaire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Albuquerque: University of New Mexico</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Kiraly, O., Potenza, M.N., Stein, D.J., King, D.L., Hodgins, D.C., Saunders, J.B., et al. (2020). Preventing problematic internet use during the COVID-19 pandemic: consensus guidance.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Compr. Psychiatry, 100</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:152180. doi: 10.1016/j. comppsych.2020.152</w:t>
      </w:r>
    </w:p>
    <w:p>
      <w:pPr>
        <w:pStyle w:val="Normal.0"/>
        <w:tabs>
          <w:tab w:val="left" w:pos="700"/>
          <w:tab w:val="left" w:pos="1400"/>
          <w:tab w:val="left" w:pos="2100"/>
          <w:tab w:val="left" w:pos="2820"/>
          <w:tab w:val="left" w:pos="3520"/>
          <w:tab w:val="left" w:pos="4240"/>
          <w:tab w:val="left" w:pos="4940"/>
          <w:tab w:val="left" w:pos="5640"/>
          <w:tab w:val="left" w:pos="6360"/>
          <w:tab w:val="left" w:pos="7060"/>
          <w:tab w:val="left" w:pos="7760"/>
          <w:tab w:val="left" w:pos="8480"/>
          <w:tab w:val="left" w:pos="9132"/>
        </w:tabs>
        <w:suppressAutoHyphens w:val="1"/>
        <w:spacing w:after="200" w:line="360" w:lineRule="auto"/>
        <w:jc w:val="both"/>
        <w:outlineLvl w:val="0"/>
        <w:rPr>
          <w:rFonts w:ascii="Garamond" w:cs="Garamond" w:hAnsi="Garamond" w:eastAsia="Garamond"/>
          <w:sz w:val="24"/>
          <w:szCs w:val="24"/>
          <w14:textOutline w14:w="12700" w14:cap="flat">
            <w14:noFill/>
            <w14:miter w14:lim="400000"/>
          </w14:textOutline>
        </w:rPr>
      </w:pPr>
      <w:r>
        <w:rPr>
          <w:rFonts w:ascii="Garamond" w:hAnsi="Garamond"/>
          <w:sz w:val="24"/>
          <w:szCs w:val="24"/>
          <w:rtl w:val="0"/>
          <w:lang w:val="en-US"/>
          <w14:textOutline w14:w="12700" w14:cap="flat">
            <w14:noFill/>
            <w14:miter w14:lim="400000"/>
          </w14:textOutline>
        </w:rPr>
        <w:t xml:space="preserve">Kline, K.A., Fekete, E.M., &amp; Sears, C.M. (2008). Hostility, emotional expression, and hemodynamic responses to laboratory stressors: reactivity attenuating effects of a tendency to express emotion interpersonally. </w:t>
      </w:r>
      <w:r>
        <w:rPr>
          <w:rFonts w:ascii="Garamond" w:hAnsi="Garamond"/>
          <w:i w:val="1"/>
          <w:iCs w:val="1"/>
          <w:sz w:val="24"/>
          <w:szCs w:val="24"/>
          <w:rtl w:val="0"/>
          <w:lang w:val="it-IT"/>
          <w14:textOutline w14:w="12700" w14:cap="flat">
            <w14:noFill/>
            <w14:miter w14:lim="400000"/>
          </w14:textOutline>
        </w:rPr>
        <w:t>Int J Psychophysiol, 68</w:t>
      </w:r>
      <w:r>
        <w:rPr>
          <w:rFonts w:ascii="Garamond" w:hAnsi="Garamond"/>
          <w:sz w:val="24"/>
          <w:szCs w:val="24"/>
          <w:rtl w:val="0"/>
          <w:lang w:val="it-IT"/>
          <w14:textOutline w14:w="12700" w14:cap="flat">
            <w14:noFill/>
            <w14:miter w14:lim="400000"/>
          </w14:textOutline>
        </w:rPr>
        <w:t>(3):177-85. doi: 10.1016/j.ijpsycho.2008.01.005.</w:t>
      </w:r>
      <w:r>
        <w:rPr>
          <w:rFonts w:ascii="Garamond" w:hAnsi="Garamond" w:hint="default"/>
          <w:sz w:val="24"/>
          <w:szCs w:val="24"/>
          <w:rtl w:val="0"/>
          <w:lang w:val="it-IT"/>
          <w14:textOutline w14:w="12700" w14:cap="flat">
            <w14:noFill/>
            <w14:miter w14:lim="400000"/>
          </w14:textOutline>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Lardone, A., Turriziani, P., Sorrentino, P., Gigliotta, O., Chirico, A., Lucidi, F., et 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(2021). Behavioural restriction determines spatial pseudoneglect: preliminary evidences from COVID-19 lockdown.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Psychol, 12: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650715. doi: 10.3389/fpsyg.2021.650715</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Lima, C.K.T., Carvalho, P.M.M., Lima, I.A.A.S., Nunes, J.V.A.O., Saraiva, J.S., de Souza, R.I., et al. (2020). The emotional impact of coronavirus 2019-nCoV (new coronavirus disease).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Psychiatry Res, 287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:112915. doi: 10.1016/j.psychres.2020.112915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Masi, G., Favilla, L., Mucci, M., Poli, P., Romano, R. (2001).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Depressive symptoms in children and adolescents with dysthymic disorder.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Psychopathology,</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ru-RU"/>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34</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(1):29-35 doi: 10 1159/000049277.</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Meda, N., Pardini,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 Slongo</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I., Bodini, L., Zordan, M.A.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 Rigobello</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P., Visioli, F., Novara, C. (2021).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Students' mental health problems before, during, and after COVID-19 lockdown in Italy.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J Psychiatr Res, 134</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:69-77. doi: 10.1016/j.jpsychires.2020.12.045.</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Ormel, J.</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Riese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 H., &amp; Rosmalen, J.G. (2012). Interpreting neuroticism scores across the adult life course: immutable or experience-dependent set points of negative affect?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Clin Psychol Rev</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32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:71</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79 https://doi org/10 1016/j cpr 2011 10 004</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Papouli, E., Chatzifotiou, S., &amp; Tsairidis, C. (2020). The use of digital technology at home during the COVID-19 outbreak: views of social work students in Greece.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J. Soc. Work. Educ, 39</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1107</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1115. doi: 10.1080/02615479.2020.1807496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Pierce, M., Hope, H., Ford, T., Hatch, S., Hotopf, M., John, A., et al. (2020). Mental health before and during the COVID-19 pandemic: a longitudinal probability sample survey of the UK population.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Lancet Psychiatry, 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883</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892. doi: 10.1016/S2215-0366(20)30308-4</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Pruneti, C., Donalizio, M., Calugi, S., Baracchini-Muratorio, G. (2001). Scala di valutazione degli Stati Depressivi: valutazione fattoriale su un campione di 2300 adolescenti.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Giornale di Neuropsichiatria dell'Et</w:t>
      </w:r>
      <w:r>
        <w:rPr>
          <w:rFonts w:ascii="Garamond" w:cs="Arial Unicode MS" w:hAnsi="Garamond"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à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Evolutiva, 21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357-364.</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Pruneti, C., Lento, R.M., Fante, C., Carrozzo, E., Fontana, F. (2010).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Autonomic Arousal and Differential Diagnosis in Clinical Psychology and Psycopathology.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Italian Journal of Psychopathology, 16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:43-52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Pruneti, C., Fontana, F., Carrozzo, E., Fante, C. (2011). Autonomic Reactivity Emotions and Stress Response in Psychopathology.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Applied Psychophysiology and Biofeedback, 36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:217-229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Pruneti, C. (2011). The P Stress Questionnaire: A new tool for the evaluation of stress- related behaviors.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Euro J of Clinical Psychology and Psychiatry, 3</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1-37.</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Cosentino, C., Sgromo, D., Merisio, C., Berretta, R., Pruneti, C. (2018). Psychophysiological Adjustment to Ovarian Cancer: Preliminary Study on Italian Women Condition.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Applied Psychophysiology and Biofeedback, 43</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(2):161-168. doi: 10.1007/s10484-018-9395-3.</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Pruneti, C.A., Vanello, N., Ricciardi, 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 Paterni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M., Landini, L., Guidotti, S., Ferdeghini, E.M. (2021).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Combined functional magnetic resonance imaging and skin conductance to detect localized neural response to psychological stress: a pilot study.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Archives</w:t>
      </w:r>
      <w:r>
        <w:rPr>
          <w:rFonts w:ascii="Garamond" w:cs="Arial Unicode MS" w:hAnsi="Garamond"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Italiennes</w:t>
      </w:r>
      <w:r>
        <w:rPr>
          <w:rFonts w:ascii="Garamond" w:cs="Arial Unicode MS" w:hAnsi="Garamond"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de Biologie</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159</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21-27. DOI 10.12871/00039829202112.</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Pruneti, C., Guidotti, S., Lento, R.M., Renda, N. (2022).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Dissociation between cognitive-behavioral and emotional-psycho- physiological aspects in Eating Disorders and its pre-post treatment stability.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Journal of Psychopathology, 28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:30-38. https://doi. org/10.36148/2284-0249-451</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Rainford, L.A., Zanardo, M., Buissink, C., Decoster, R., Hennessy, W., Knapp, K., Kraus, B., Lanca, L., Lewis, S., Mahlaola, T.B., McEntee, M., O'Leary, D., Precht, H., Starc, T., &amp; McNulty, J. P. (2021). The impact of COVID-19 upon student radiographers and clinical training.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Radiography, 27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(2), 464-474. https://doi.org/10.1016/j.radi.2020.10.015</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Rajkumar, R.P. (2020). COVID-19 and mental health: a review of the existing literature.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Asian J. Psychiatr</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52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:102066. doi: 10.1016/j.ajp.2020.102066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Rodr</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í</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guez-Hidalgo, A.J., Pantale</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w="12700" w14:cap="flat">
            <w14:noFill/>
            <w14:miter w14:lim="400000"/>
          </w14:textOutline>
          <w14:textFill>
            <w14:solidFill>
              <w14:srgbClr w14:val="000000"/>
            </w14:solidFill>
          </w14:textFill>
        </w:rPr>
        <w:t>ó</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n, Y., Dios, I., Falla, D. (2020). Fear of COVID-19, stress, and anxiety in university undergraduate students: a predictive model for depression.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Front. Psychol, 11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:591797. doi: 10.3389/fpsyg.2020.591797</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Rossi, R., Socci, V., Talevi, D., Mensi, S., Niolu, C., Pacitti, F., et 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(2020). COVID-19 pandemic and lockdown measures impact on mental health among the general population in Italy.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Psychol, 11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 xml:space="preserve">:790. doi: 10.3389/ fpsyt.2020.00790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Rusch, A., Rodriguez-Quintana, N., Choi, S. Y., Lane, A., Smith, M., Koschmann, E., et al. (2021). School professional needs to support student mental health during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pt-PT"/>
          <w14:textOutline w14:w="12700" w14:cap="flat">
            <w14:noFill/>
            <w14:miter w14:lim="400000"/>
          </w14:textOutline>
          <w14:textFill>
            <w14:solidFill>
              <w14:srgbClr w14:val="000000"/>
            </w14:solidFill>
          </w14:textFill>
        </w:rPr>
        <w:t>Front. Educ</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:663871. doi: 10.3389/feduc.2021.663871</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Saleh, D., Camart, N., &amp; Romo, L. (2017). Predictors of Stress in College Students.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Front. Psychol.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8:19. doi: 10.3389/fpsyg.2017.00019</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xml:space="preserve">Sirigatti, S., &amp; Stefanile, C. (2001).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Il 16PF-5 Adattamento italiano</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shadow w14:sx="100000" w14:sy="100000" w14:kx="0" w14:ky="0" w14:algn="tl" w14:blurRad="0" w14:dist="0" w14:dir="2700000">
            <w14:srgbClr w14:val="000000">
              <w14:alpha w14:val="100000"/>
            </w14:srgbClr>
          </w14:shadow>
          <w14:textOutline w14:w="12700" w14:cap="flat">
            <w14:noFill/>
            <w14:miter w14:lim="400000"/>
          </w14:textOutline>
          <w14:textFill>
            <w14:solidFill>
              <w14:srgbClr w14:val="000000"/>
            </w14:solidFill>
          </w14:textFill>
        </w:rPr>
        <w:t>. Firenze: OS Organizzazioni Speciali</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Somma, F., Bartolomeo, P., Vallone, F., Argiuolo, A., Cerrato, A., Miglino, O., et 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(2021). Further to the left: stress-induced increase of spatial pseudoneglect during the COVID-19 lockdown.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Psychol, 12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:573846. doi: 10.3389/fpsyg.2021.573846</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Son, C.,</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textOutline w14:w="12700" w14:cap="flat">
            <w14:noFill/>
            <w14:miter w14:lim="400000"/>
          </w14:textOutline>
          <w14:textFill>
            <w14:solidFill>
              <w14:srgbClr w14:val="000000"/>
            </w14:solidFill>
          </w14:textFill>
        </w:rPr>
        <w:t xml:space="preserve"> Hegde,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Smith,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 Wang, X.</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textOutline w14:w="12700" w14:cap="flat">
            <w14:noFill/>
            <w14:miter w14:lim="400000"/>
          </w14:textOutline>
          <w14:textFill>
            <w14:solidFill>
              <w14:srgbClr w14:val="000000"/>
            </w14:solidFill>
          </w14:textFill>
        </w:rPr>
        <w:t xml:space="preserve"> Sasangohar, F.</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(2020). Effects of COVID-19 on college students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mental health in the United States: Interview survey study.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J. Med. Internet Res, 22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e21279.</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a-DK"/>
          <w14:textOutline w14:w="12700" w14:cap="flat">
            <w14:noFill/>
            <w14:miter w14:lim="400000"/>
          </w14:textOutline>
          <w14:textFill>
            <w14:solidFill>
              <w14:srgbClr w14:val="000000"/>
            </w14:solidFill>
          </w14:textFill>
        </w:rPr>
        <w:t xml:space="preserve">Sussman, S.,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&amp; Arnett, J. J. (2014). Emerging Adulthood: Developmental Period Facilitative of the Addictions.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Eval Health Prof,</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147</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155. doi: 10.1177/0163278714521812.</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Vahedian-Azimi, A., Moayed, M.S., Rahimibashar, F., Shojaei, S., Ashtari,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w="12700" w14:cap="flat">
            <w14:noFill/>
            <w14:miter w14:lim="400000"/>
          </w14:textOutline>
          <w14:textFill>
            <w14:solidFill>
              <w14:srgbClr w14:val="000000"/>
            </w14:solidFill>
          </w14:textFill>
        </w:rPr>
        <w:t>, Pourhoseingholi</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M.A. (2020). Comparison of the severity of psychological distress among four groups of an Iranian population regarding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BMC Psychiatry, 20</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(1):402. https://doi.org/10.1186/s12888-020-02804-9.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nl-NL"/>
          <w14:textOutline w14:w="12700" w14:cap="flat">
            <w14:noFill/>
            <w14:miter w14:lim="400000"/>
          </w14:textOutline>
          <w14:textFill>
            <w14:solidFill>
              <w14:srgbClr w14:val="000000"/>
            </w14:solidFill>
          </w14:textFill>
        </w:rPr>
        <w:t>Volken,</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T., Zysset, A., Amendola, S.,</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 von Wyl, A.</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Dratva, J. on behalf of the HES-C Research Group. (2021). Generalized Anxiety among Swiss Health Professions and Non-Health Professions Students: An Open Cohort Study over 14 Months in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Int. J. Environ. Res. Public Health</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18</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,10833. https://doi.org/10.3390/ ijerph182010833</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Winkler, P., Formanek, T., Mlada, K., Kagstrom, A., Mohrova, Z., Mohr, P., et al. (2020). Increase in prevalence of current mental disorders in the context of COVID-19: analysis of repeated nationwide cross-sectional surveys.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Epidemiol. Psychiatr. Sci., 29</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e173</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e178. doi: 10.1017/S2045796020000888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Xu, Y., Su, S., Jiang, Z., Guo, S., Lu, Q., Liu, L., et al.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(2021). Prevalence and risk factors of mental health symptoms and suicidal behavior among university students in Wuhan, China during the COVID-19 pandemic.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Front. Psychol, 12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:695017. doi: 10.3389/fpsyt.2021.695017</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 xml:space="preserve">Yang, C., Chen, A.,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&amp; Chen, Y. (2021). College students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stress and health in the COVID-19 pandemic: the role of academic workload, separation from school, and fears of contagion.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PLoS One, 16</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:e0246676. doi: 10.1371/ journal.pone.0246676.</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Zivin, K., Eisenberg, D., Gollust, S.E., Golberstein, E. (2009). Persistence of mental health problems and needs in a college student population.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J. Affect. Disord., 117</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180</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185. doi: 10.1016/j.jad.2009.01.001</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Zurlo, M.C., Volta, M.F.C.D., &amp; Vallone, F. (2020).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COVID-19 student stress questionnaire: development and validation of a questionnaire to evaluate students</w:t>
      </w:r>
      <w:r>
        <w:rPr>
          <w:rFonts w:ascii="Garamond" w:cs="Arial Unicode MS" w:hAnsi="Garamond"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stressors related to the coronavirus pandemic lockdown.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Front. Psychol, 11</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:576758. doi: 10.3389/fpsyg.2020.576758 </w:t>
      </w:r>
    </w:p>
    <w:p>
      <w:pPr>
        <w:keepNext w:val="0"/>
        <w:keepLines w:val="0"/>
        <w:pageBreakBefore w:val="0"/>
        <w:widowControl w:val="1"/>
        <w:shd w:val="clear" w:color="auto" w:fill="auto"/>
        <w:suppressAutoHyphens w:val="0"/>
        <w:bidi w:val="0"/>
        <w:spacing w:before="0" w:after="200" w:line="360" w:lineRule="auto"/>
        <w:ind w:left="0" w:right="0" w:firstLine="0"/>
        <w:jc w:val="left"/>
        <w:outlineLvl w:val="9"/>
        <w:rPr>
          <w:rtl w:val="0"/>
        </w:rPr>
      </w:pP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de-DE"/>
          <w14:textOutline w14:w="12700" w14:cap="flat">
            <w14:noFill/>
            <w14:miter w14:lim="400000"/>
          </w14:textOutline>
          <w14:textFill>
            <w14:solidFill>
              <w14:srgbClr w14:val="000000"/>
            </w14:solidFill>
          </w14:textFill>
        </w:rPr>
        <w:t>Zurlo</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M.C., Cattaneo Della Volta, M.F., &amp; Vallone, F. (2022). </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Psychological Health Conditions and COVID-19-Related Stressors Among University Students: A Repeated Cross-Sectional Survey. </w:t>
      </w:r>
      <w:r>
        <w:rPr>
          <w:rFonts w:ascii="Garamond" w:cs="Arial Unicode MS" w:hAnsi="Garamond"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Front. Psychol, 12</w:t>
      </w:r>
      <w: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it-IT"/>
          <w14:textOutline w14:w="12700" w14:cap="flat">
            <w14:noFill/>
            <w14:miter w14:lim="400000"/>
          </w14:textOutline>
          <w14:textFill>
            <w14:solidFill>
              <w14:srgbClr w14:val="000000"/>
            </w14:solidFill>
          </w14:textFill>
        </w:rPr>
        <w:t>:741332. doi: 10.3389/fpsyg.2021.741332.</w:t>
      </w:r>
      <w:r>
        <w:rPr>
          <w:rFonts w:ascii="Garamond" w:cs="Garamond" w:hAnsi="Garamond" w:eastAsia="Garamond"/>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r>
    </w:p>
    <w:sectPr>
      <w:headerReference w:type="default" r:id="rId5"/>
      <w:headerReference w:type="first" r:id="rId6"/>
      <w:footerReference w:type="default" r:id="rId7"/>
      <w:footerReference w:type="first" r:id="rId8"/>
      <w:pgSz w:w="11900" w:h="16840" w:orient="portrait"/>
      <w:pgMar w:top="1417" w:right="1134" w:bottom="1134" w:left="1134" w:header="708" w:footer="708"/>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Garamond">
    <w:charset w:val="00"/>
    <w:family w:val="roman"/>
    <w:pitch w:val="default"/>
  </w:font>
  <w:font w:name="Helvetica Neue">
    <w:charset w:val="00"/>
    <w:family w:val="roman"/>
    <w:pitch w:val="default"/>
  </w:font>
  <w:font w:name="Times Roman">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612"/>
        <w:tab w:val="clear" w:pos="9638"/>
      </w:tabs>
      <w:jc w:val="center"/>
    </w:pP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tabs>
        <w:tab w:val="right" w:pos="9612"/>
        <w:tab w:val="clear" w:pos="9638"/>
      </w:tabs>
      <w:rPr>
        <w:rFonts w:ascii="Garamond" w:cs="Garamond" w:hAnsi="Garamond" w:eastAsia="Garamond"/>
      </w:rPr>
    </w:pPr>
    <w:r>
      <w:rPr>
        <w:rFonts w:ascii="Garamond" w:hAnsi="Garamond"/>
        <w:rtl w:val="0"/>
        <w:lang w:val="en-US"/>
      </w:rPr>
      <w:t>* Mandatory fields</w:t>
    </w:r>
  </w:p>
  <w:p>
    <w:pPr>
      <w:pStyle w:val="footer"/>
      <w:tabs>
        <w:tab w:val="right" w:pos="9612"/>
        <w:tab w:val="clear" w:pos="9638"/>
      </w:tabs>
      <w:rPr>
        <w:rFonts w:ascii="Garamond" w:cs="Garamond" w:hAnsi="Garamond" w:eastAsia="Garamond"/>
      </w:rPr>
    </w:pPr>
  </w:p>
  <w:p>
    <w:pPr>
      <w:pStyle w:val="footer"/>
      <w:tabs>
        <w:tab w:val="right" w:pos="9612"/>
        <w:tab w:val="clear" w:pos="9638"/>
      </w:tabs>
      <w:rPr>
        <w:rFonts w:ascii="Garamond" w:cs="Garamond" w:hAnsi="Garamond" w:eastAsia="Garamond"/>
      </w:rPr>
    </w:pPr>
    <w:r>
      <w:rPr>
        <w:rFonts w:ascii="Garamond" w:hAnsi="Garamond"/>
        <w:rtl w:val="0"/>
        <w:lang w:val="en-US"/>
      </w:rPr>
      <w:t xml:space="preserve">For further information: </w:t>
    </w:r>
  </w:p>
  <w:p>
    <w:pPr>
      <w:pStyle w:val="footer"/>
      <w:tabs>
        <w:tab w:val="right" w:pos="9612"/>
        <w:tab w:val="clear" w:pos="9638"/>
      </w:tabs>
    </w:pPr>
    <w:r>
      <w:rPr>
        <w:rStyle w:val="Hyperlink.0"/>
      </w:rPr>
      <w:fldChar w:fldCharType="begin" w:fldLock="0"/>
    </w:r>
    <w:r>
      <w:rPr>
        <w:rStyle w:val="Hyperlink.0"/>
      </w:rPr>
      <w:instrText xml:space="preserve"> HYPERLINK "mailto:emerlo@unime.it"</w:instrText>
    </w:r>
    <w:r>
      <w:rPr>
        <w:rStyle w:val="Hyperlink.0"/>
      </w:rPr>
      <w:fldChar w:fldCharType="separate" w:fldLock="0"/>
    </w:r>
    <w:r>
      <w:rPr>
        <w:rStyle w:val="Hyperlink.0"/>
        <w:rtl w:val="0"/>
        <w:lang w:val="en-US"/>
      </w:rPr>
      <w:t>emerlo@unime.it</w:t>
    </w:r>
    <w:r>
      <w:rPr/>
      <w:fldChar w:fldCharType="end" w:fldLock="0"/>
    </w:r>
    <w:r>
      <w:rPr>
        <w:rFonts w:ascii="Garamond" w:hAnsi="Garamond"/>
        <w:rtl w:val="0"/>
        <w:lang w:val="en-US"/>
      </w:rPr>
      <w:t xml:space="preserve"> Journal Manager, Emanuele Maria Merlo</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612"/>
        <w:tab w:val="clear" w:pos="9638"/>
      </w:tabs>
      <w:jc w:val="center"/>
    </w:pP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footer"/>
      <w:tabs>
        <w:tab w:val="right" w:pos="9612"/>
        <w:tab w:val="clear" w:pos="9638"/>
      </w:tabs>
    </w:pPr>
    <w:r>
      <w:rPr>
        <w:rFonts w:ascii="Garamond" w:hAnsi="Garamond"/>
        <w:rtl w:val="0"/>
        <w:lang w:val="en-US"/>
      </w:rPr>
      <w:t>* Mandatory fields</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612"/>
        <w:tab w:val="clear" w:pos="9638"/>
      </w:tabs>
    </w:pPr>
    <w:r>
      <w:rPr>
        <w:rFonts w:ascii="Garamond" w:hAnsi="Garamond"/>
        <w:sz w:val="24"/>
        <w:szCs w:val="24"/>
        <w:rtl w:val="0"/>
        <w:lang w:val="en-US"/>
      </w:rPr>
      <w:t>MJCP | Submission template 2021                                                    MJCP, University of Messina, Italy</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suppressAutoHyphens w:val="1"/>
      <w:bidi w:val="0"/>
      <w:ind w:left="0" w:right="0" w:firstLine="0"/>
      <w:jc w:val="left"/>
      <w:rPr>
        <w:rFonts w:ascii="Garamond" w:cs="Garamond" w:hAnsi="Garamond" w:eastAsia="Garamond"/>
        <w:b w:val="1"/>
        <w:bCs w:val="1"/>
        <w:outline w:val="0"/>
        <w:color w:val="8e0000"/>
        <w:sz w:val="36"/>
        <w:szCs w:val="36"/>
        <w:u w:color="8e0000"/>
        <w:shd w:val="nil" w:color="auto" w:fill="auto"/>
        <w:rtl w:val="0"/>
        <w14:textFill>
          <w14:solidFill>
            <w14:srgbClr w14:val="8E0000"/>
          </w14:solidFill>
        </w14:textFill>
      </w:rPr>
    </w:pPr>
    <w:r>
      <w:rPr>
        <w:rFonts w:ascii="Garamond" w:hAnsi="Garamond"/>
        <w:b w:val="1"/>
        <w:bCs w:val="1"/>
        <w:outline w:val="0"/>
        <w:color w:val="8e0000"/>
        <w:sz w:val="36"/>
        <w:szCs w:val="36"/>
        <w:u w:color="8e0000"/>
        <w:shd w:val="nil" w:color="auto" w:fill="auto"/>
        <w:rtl w:val="0"/>
        <w:lang w:val="en-US"/>
        <w14:textFill>
          <w14:solidFill>
            <w14:srgbClr w14:val="8E0000"/>
          </w14:solidFill>
        </w14:textFill>
      </w:rPr>
      <w:t xml:space="preserve">Mediterranean Journal </w:t>
    </w:r>
    <w:r>
      <w:rPr>
        <w:rFonts w:ascii="Garamond" w:cs="Garamond" w:hAnsi="Garamond" w:eastAsia="Garamond"/>
        <w:b w:val="1"/>
        <w:bCs w:val="1"/>
        <w:outline w:val="0"/>
        <w:color w:val="8e0000"/>
        <w:sz w:val="36"/>
        <w:szCs w:val="36"/>
        <w:u w:color="8e0000"/>
        <w:shd w:val="nil" w:color="auto" w:fill="auto"/>
        <w:lang w:val="en-US"/>
        <w14:textFill>
          <w14:solidFill>
            <w14:srgbClr w14:val="8E0000"/>
          </w14:solidFill>
        </w14:textFill>
      </w:rPr>
      <w:br w:type="textWrapping"/>
    </w:r>
    <w:r>
      <w:rPr>
        <w:rFonts w:ascii="Garamond" w:hAnsi="Garamond"/>
        <w:b w:val="1"/>
        <w:bCs w:val="1"/>
        <w:outline w:val="0"/>
        <w:color w:val="8e0000"/>
        <w:sz w:val="36"/>
        <w:szCs w:val="36"/>
        <w:u w:color="8e0000"/>
        <w:shd w:val="nil" w:color="auto" w:fill="auto"/>
        <w:rtl w:val="0"/>
        <w:lang w:val="en-US"/>
        <w14:textFill>
          <w14:solidFill>
            <w14:srgbClr w14:val="8E0000"/>
          </w14:solidFill>
        </w14:textFill>
      </w:rPr>
      <w:t>of Clinical Psychology</w:t>
    </w:r>
  </w:p>
  <w:p>
    <w:pPr>
      <w:pStyle w:val="Normal.0"/>
      <w:suppressAutoHyphens w:val="1"/>
      <w:bidi w:val="0"/>
      <w:ind w:left="0" w:right="0" w:firstLine="0"/>
      <w:jc w:val="left"/>
      <w:rPr>
        <w:rFonts w:ascii="Garamond" w:cs="Garamond" w:hAnsi="Garamond" w:eastAsia="Garamond"/>
        <w:b w:val="1"/>
        <w:bCs w:val="1"/>
        <w:outline w:val="0"/>
        <w:color w:val="8e0000"/>
        <w:sz w:val="24"/>
        <w:szCs w:val="24"/>
        <w:u w:color="8e0000"/>
        <w:shd w:val="nil" w:color="auto" w:fill="auto"/>
        <w:rtl w:val="0"/>
        <w14:textFill>
          <w14:solidFill>
            <w14:srgbClr w14:val="8E0000"/>
          </w14:solidFill>
        </w14:textFill>
      </w:rPr>
    </w:pPr>
    <w:r>
      <w:rPr>
        <w:rFonts w:ascii="Garamond" w:hAnsi="Garamond"/>
        <w:b w:val="1"/>
        <w:bCs w:val="1"/>
        <w:outline w:val="0"/>
        <w:color w:val="8e0000"/>
        <w:sz w:val="24"/>
        <w:szCs w:val="24"/>
        <w:u w:color="8e0000"/>
        <w:shd w:val="nil" w:color="auto" w:fill="auto"/>
        <w:rtl w:val="0"/>
        <w:lang w:val="en-US"/>
        <w14:textFill>
          <w14:solidFill>
            <w14:srgbClr w14:val="8E0000"/>
          </w14:solidFill>
        </w14:textFill>
      </w:rPr>
      <w:t>Submission template</w:t>
    </w:r>
  </w:p>
  <w:p>
    <w:pPr>
      <w:pStyle w:val="Normal.0"/>
      <w:suppressAutoHyphens w:val="1"/>
      <w:bidi w:val="0"/>
      <w:ind w:left="0" w:right="113" w:firstLine="0"/>
      <w:jc w:val="right"/>
      <w:rPr>
        <w:rtl w:val="0"/>
      </w:rPr>
    </w:pPr>
    <w:r>
      <w:rPr>
        <w:rFonts w:ascii="Garamond" w:hAnsi="Garamond"/>
        <w:b w:val="0"/>
        <w:bCs w:val="0"/>
        <w:i w:val="1"/>
        <w:iCs w:val="1"/>
        <w:outline w:val="0"/>
        <w:color w:val="444444"/>
        <w:spacing w:val="0"/>
        <w:sz w:val="22"/>
        <w:szCs w:val="22"/>
        <w:u w:color="444444"/>
        <w:shd w:val="nil" w:color="auto" w:fill="auto"/>
        <w:rtl w:val="0"/>
        <w:lang w:val="en-US"/>
        <w14:textFill>
          <w14:solidFill>
            <w14:srgbClr w14:val="444444"/>
          </w14:solidFill>
        </w14:textFill>
      </w:rPr>
      <w:t xml:space="preserve">ISSN </w:t>
    </w:r>
    <w:r>
      <w:rPr>
        <w:rFonts w:ascii="Garamond" w:hAnsi="Garamond"/>
        <w:b w:val="0"/>
        <w:bCs w:val="0"/>
        <w:i w:val="1"/>
        <w:iCs w:val="1"/>
        <w:outline w:val="0"/>
        <w:color w:val="444444"/>
        <w:spacing w:val="0"/>
        <w:sz w:val="22"/>
        <w:szCs w:val="22"/>
        <w:u w:color="444444"/>
        <w:shd w:val="nil" w:color="auto" w:fill="auto"/>
        <w:rtl w:val="0"/>
        <w:lang w:val="en-US"/>
        <w14:textFill>
          <w14:solidFill>
            <w14:srgbClr w14:val="444444"/>
          </w14:solidFill>
        </w14:textFill>
      </w:rPr>
      <w:t>2282-1619</w:t>
      <w:tab/>
    </w:r>
    <w:r>
      <w:rPr>
        <w:rFonts w:ascii="Calibri" w:cs="Calibri" w:hAnsi="Calibri" w:eastAsia="Calibri"/>
        <w:b w:val="0"/>
        <w:bCs w:val="0"/>
        <w:outline w:val="0"/>
        <w:color w:val="444444"/>
        <w:spacing w:val="0"/>
        <w:sz w:val="24"/>
        <w:szCs w:val="24"/>
        <w:u w:color="444444"/>
        <w:shd w:val="nil" w:color="auto" w:fill="auto"/>
        <w14:textFill>
          <w14:solidFill>
            <w14:srgbClr w14:val="444444"/>
          </w14:solidFill>
        </w14:textFill>
      </w:rPr>
      <w:drawing xmlns:a="http://schemas.openxmlformats.org/drawingml/2006/main">
        <wp:inline distT="0" distB="0" distL="0" distR="0">
          <wp:extent cx="942975" cy="876300"/>
          <wp:effectExtent l="0" t="0" r="0" b="0"/>
          <wp:docPr id="1073741825" name="officeArt object" descr="mjcp rid.jpg"/>
          <wp:cNvGraphicFramePr/>
          <a:graphic xmlns:a="http://schemas.openxmlformats.org/drawingml/2006/main">
            <a:graphicData uri="http://schemas.openxmlformats.org/drawingml/2006/picture">
              <pic:pic xmlns:pic="http://schemas.openxmlformats.org/drawingml/2006/picture">
                <pic:nvPicPr>
                  <pic:cNvPr id="1073741825" name="mjcp rid.jpg" descr="mjcp rid.jpg"/>
                  <pic:cNvPicPr>
                    <a:picLocks noChangeAspect="1"/>
                  </pic:cNvPicPr>
                </pic:nvPicPr>
                <pic:blipFill>
                  <a:blip r:embed="rId1">
                    <a:extLst/>
                  </a:blip>
                  <a:stretch>
                    <a:fillRect/>
                  </a:stretch>
                </pic:blipFill>
                <pic:spPr>
                  <a:xfrm>
                    <a:off x="0" y="0"/>
                    <a:ext cx="942975" cy="876300"/>
                  </a:xfrm>
                  <a:prstGeom prst="rect">
                    <a:avLst/>
                  </a:prstGeom>
                  <a:ln w="12700" cap="flat">
                    <a:noFill/>
                    <a:miter lim="400000"/>
                  </a:ln>
                  <a:effectLst/>
                </pic:spPr>
              </pic:pic>
            </a:graphicData>
          </a:graphic>
        </wp:inline>
      </w:drawing>
    </w:r>
    <w:r>
      <w:rPr>
        <w:rFonts w:ascii="Calibri" w:cs="Calibri" w:hAnsi="Calibri" w:eastAsia="Calibri"/>
        <w:b w:val="0"/>
        <w:bCs w:val="0"/>
        <w:outline w:val="0"/>
        <w:color w:val="444444"/>
        <w:spacing w:val="0"/>
        <w:sz w:val="24"/>
        <w:szCs w:val="24"/>
        <w:u w:color="444444"/>
        <w:shd w:val="nil" w:color="auto" w:fill="auto"/>
        <w14:textFill>
          <w14:solidFill>
            <w14:srgbClr w14:val="444444"/>
          </w14:solidFill>
        </w14:textFill>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819"/>
        <w:tab w:val="right" w:pos="9638"/>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819"/>
        <w:tab w:val="right" w:pos="9638"/>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Garamond" w:cs="Garamond" w:hAnsi="Garamond" w:eastAsia="Garamond"/>
    </w:rPr>
  </w:style>
  <w:style w:type="paragraph" w:styleId="Normal.0">
    <w:name w:val="Normal"/>
    <w:next w:val="Normal.0"/>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Di default">
    <w:name w:val="Di default"/>
    <w:next w:val="Di 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_rels/header2.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Tema di Office">
  <a:themeElements>
    <a:clrScheme name="Tema di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