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3A1B1" w14:textId="3391D436" w:rsidR="00B45FC9" w:rsidRDefault="00B45FC9">
      <w:pPr>
        <w:rPr>
          <w:rFonts w:ascii="Garamond" w:hAnsi="Garamond"/>
          <w:sz w:val="24"/>
          <w:szCs w:val="24"/>
          <w:lang w:val="en-GB"/>
        </w:rPr>
      </w:pPr>
      <w:r w:rsidRPr="00B45FC9">
        <w:rPr>
          <w:rFonts w:ascii="Garamond" w:hAnsi="Garamond"/>
          <w:sz w:val="24"/>
          <w:szCs w:val="24"/>
          <w:lang w:val="en-GB"/>
        </w:rPr>
        <w:t>Response to Letter to t</w:t>
      </w:r>
      <w:r>
        <w:rPr>
          <w:rFonts w:ascii="Garamond" w:hAnsi="Garamond"/>
          <w:sz w:val="24"/>
          <w:szCs w:val="24"/>
          <w:lang w:val="en-GB"/>
        </w:rPr>
        <w:t>he Editor</w:t>
      </w:r>
      <w:r w:rsidR="00D0565A">
        <w:rPr>
          <w:rFonts w:ascii="Garamond" w:hAnsi="Garamond"/>
          <w:sz w:val="24"/>
          <w:szCs w:val="24"/>
          <w:lang w:val="en-GB"/>
        </w:rPr>
        <w:t>: T</w:t>
      </w:r>
      <w:r w:rsidR="00D0565A" w:rsidRPr="00D0565A">
        <w:rPr>
          <w:rFonts w:ascii="Garamond" w:hAnsi="Garamond"/>
          <w:sz w:val="24"/>
          <w:szCs w:val="24"/>
          <w:lang w:val="en-GB"/>
        </w:rPr>
        <w:t>he application of transcranial direct current stimulation on phantom phenomena</w:t>
      </w:r>
    </w:p>
    <w:p w14:paraId="7C86EBF0" w14:textId="3799EC8F" w:rsidR="00212FC7" w:rsidRPr="00212FC7" w:rsidRDefault="00212FC7">
      <w:pPr>
        <w:rPr>
          <w:rFonts w:ascii="Garamond" w:hAnsi="Garamond"/>
          <w:sz w:val="24"/>
          <w:szCs w:val="24"/>
          <w:lang w:val="en-GB"/>
        </w:rPr>
      </w:pPr>
      <w:r>
        <w:rPr>
          <w:rFonts w:ascii="Garamond" w:hAnsi="Garamond"/>
          <w:sz w:val="24"/>
          <w:szCs w:val="24"/>
          <w:lang w:val="en-GB"/>
        </w:rPr>
        <w:t xml:space="preserve">Keywords: Clinical Psychology; </w:t>
      </w:r>
      <w:r w:rsidRPr="00212FC7">
        <w:rPr>
          <w:rFonts w:ascii="Garamond" w:hAnsi="Garamond"/>
          <w:sz w:val="24"/>
          <w:szCs w:val="24"/>
          <w:lang w:val="en-GB"/>
        </w:rPr>
        <w:t>Phantom limb; Phantom limb pain</w:t>
      </w:r>
      <w:r>
        <w:rPr>
          <w:rFonts w:ascii="Garamond" w:hAnsi="Garamond"/>
          <w:sz w:val="24"/>
          <w:szCs w:val="24"/>
          <w:lang w:val="en-GB"/>
        </w:rPr>
        <w:t xml:space="preserve">; </w:t>
      </w:r>
      <w:r w:rsidRPr="00212FC7">
        <w:rPr>
          <w:rFonts w:ascii="Garamond" w:hAnsi="Garamond"/>
          <w:sz w:val="24"/>
          <w:szCs w:val="24"/>
          <w:lang w:val="en-GB"/>
        </w:rPr>
        <w:t>Phantom limb phenomena; Transcranial direct current stimulation; tDCS- Amputation</w:t>
      </w:r>
      <w:r>
        <w:rPr>
          <w:rFonts w:ascii="Garamond" w:hAnsi="Garamond"/>
          <w:sz w:val="24"/>
          <w:szCs w:val="24"/>
          <w:lang w:val="en-GB"/>
        </w:rPr>
        <w:t>.</w:t>
      </w:r>
      <w:r w:rsidRPr="00212FC7">
        <w:rPr>
          <w:rFonts w:ascii="Garamond" w:hAnsi="Garamond"/>
          <w:sz w:val="24"/>
          <w:szCs w:val="24"/>
          <w:lang w:val="en-GB"/>
        </w:rPr>
        <w:t xml:space="preserve"> </w:t>
      </w:r>
    </w:p>
    <w:p w14:paraId="698ED228" w14:textId="579DA291" w:rsidR="00B45FC9" w:rsidRDefault="00B45FC9">
      <w:pPr>
        <w:rPr>
          <w:rFonts w:ascii="Garamond" w:hAnsi="Garamond"/>
          <w:sz w:val="24"/>
          <w:szCs w:val="24"/>
          <w:lang w:val="en-GB"/>
        </w:rPr>
      </w:pPr>
      <w:r w:rsidRPr="00B45FC9">
        <w:rPr>
          <w:rFonts w:ascii="Garamond" w:hAnsi="Garamond"/>
          <w:sz w:val="24"/>
          <w:szCs w:val="24"/>
          <w:lang w:val="en-GB"/>
        </w:rPr>
        <w:t>I thank you for your letter concerning the pathology linked to the phantom limbs and for the related relationship with the pain that this mental representation arouses</w:t>
      </w:r>
      <w:r>
        <w:rPr>
          <w:rFonts w:ascii="Garamond" w:hAnsi="Garamond"/>
          <w:sz w:val="24"/>
          <w:szCs w:val="24"/>
          <w:lang w:val="en-GB"/>
        </w:rPr>
        <w:t xml:space="preserve"> (</w:t>
      </w:r>
      <w:r w:rsidR="00BA2090">
        <w:rPr>
          <w:rFonts w:ascii="Garamond" w:hAnsi="Garamond"/>
          <w:sz w:val="24"/>
          <w:szCs w:val="24"/>
          <w:lang w:val="en-GB"/>
        </w:rPr>
        <w:t>Orrù et al., 2020)</w:t>
      </w:r>
      <w:r w:rsidRPr="00B45FC9">
        <w:rPr>
          <w:rFonts w:ascii="Garamond" w:hAnsi="Garamond"/>
          <w:sz w:val="24"/>
          <w:szCs w:val="24"/>
          <w:lang w:val="en-GB"/>
        </w:rPr>
        <w:t xml:space="preserve">. The issue adequately falls within the intentions of the </w:t>
      </w:r>
      <w:r w:rsidR="007A2527" w:rsidRPr="00B45FC9">
        <w:rPr>
          <w:rFonts w:ascii="Garamond" w:hAnsi="Garamond"/>
          <w:sz w:val="24"/>
          <w:szCs w:val="24"/>
          <w:lang w:val="en-GB"/>
        </w:rPr>
        <w:t>MJCP</w:t>
      </w:r>
      <w:r w:rsidR="007A2527" w:rsidRPr="00B45FC9">
        <w:rPr>
          <w:rFonts w:ascii="Garamond" w:hAnsi="Garamond"/>
          <w:sz w:val="24"/>
          <w:szCs w:val="24"/>
          <w:lang w:val="en-GB"/>
        </w:rPr>
        <w:t xml:space="preserve"> </w:t>
      </w:r>
      <w:r w:rsidRPr="00B45FC9">
        <w:rPr>
          <w:rFonts w:ascii="Garamond" w:hAnsi="Garamond"/>
          <w:sz w:val="24"/>
          <w:szCs w:val="24"/>
          <w:lang w:val="en-GB"/>
        </w:rPr>
        <w:t xml:space="preserve">letters to the Editor such as those summarized by Peh </w:t>
      </w:r>
      <w:r>
        <w:rPr>
          <w:rFonts w:ascii="Garamond" w:hAnsi="Garamond"/>
          <w:sz w:val="24"/>
          <w:szCs w:val="24"/>
          <w:lang w:val="en-GB"/>
        </w:rPr>
        <w:t xml:space="preserve">&amp; </w:t>
      </w:r>
      <w:r w:rsidRPr="00B45FC9">
        <w:rPr>
          <w:rFonts w:ascii="Garamond" w:hAnsi="Garamond"/>
          <w:sz w:val="24"/>
          <w:szCs w:val="24"/>
          <w:lang w:val="en-GB"/>
        </w:rPr>
        <w:t>Ng</w:t>
      </w:r>
      <w:r>
        <w:rPr>
          <w:rFonts w:ascii="Garamond" w:hAnsi="Garamond"/>
          <w:sz w:val="24"/>
          <w:szCs w:val="24"/>
          <w:lang w:val="en-GB"/>
        </w:rPr>
        <w:t xml:space="preserve"> </w:t>
      </w:r>
      <w:r w:rsidRPr="00B45FC9">
        <w:rPr>
          <w:rFonts w:ascii="Garamond" w:hAnsi="Garamond"/>
          <w:sz w:val="24"/>
          <w:szCs w:val="24"/>
          <w:lang w:val="en-GB"/>
        </w:rPr>
        <w:t>(2010)</w:t>
      </w:r>
      <w:r>
        <w:rPr>
          <w:rFonts w:ascii="Garamond" w:hAnsi="Garamond"/>
          <w:sz w:val="24"/>
          <w:szCs w:val="24"/>
          <w:lang w:val="en-GB"/>
        </w:rPr>
        <w:t>.</w:t>
      </w:r>
      <w:r w:rsidR="007A2527">
        <w:rPr>
          <w:rFonts w:ascii="Garamond" w:hAnsi="Garamond"/>
          <w:sz w:val="24"/>
          <w:szCs w:val="24"/>
          <w:lang w:val="en-GB"/>
        </w:rPr>
        <w:t xml:space="preserve"> </w:t>
      </w:r>
    </w:p>
    <w:p w14:paraId="62F1ACC3" w14:textId="4F62C5B3" w:rsidR="00B45FC9" w:rsidRDefault="00B45FC9">
      <w:pPr>
        <w:rPr>
          <w:rFonts w:ascii="Garamond" w:hAnsi="Garamond"/>
          <w:sz w:val="24"/>
          <w:szCs w:val="24"/>
          <w:lang w:val="en-GB"/>
        </w:rPr>
      </w:pPr>
      <w:r w:rsidRPr="00B45FC9">
        <w:rPr>
          <w:rFonts w:ascii="Garamond" w:hAnsi="Garamond"/>
          <w:sz w:val="24"/>
          <w:szCs w:val="24"/>
          <w:lang w:val="en-GB"/>
        </w:rPr>
        <w:t>As is well known, psychology is gradually consolidating itself as a science capable of dialoguing with different realities of a structural, functional and pathological order</w:t>
      </w:r>
      <w:r>
        <w:rPr>
          <w:rFonts w:ascii="Garamond" w:hAnsi="Garamond"/>
          <w:sz w:val="24"/>
          <w:szCs w:val="24"/>
          <w:lang w:val="en-GB"/>
        </w:rPr>
        <w:t xml:space="preserve"> (</w:t>
      </w:r>
      <w:r w:rsidR="00DD4905">
        <w:rPr>
          <w:rFonts w:ascii="Garamond" w:hAnsi="Garamond"/>
          <w:sz w:val="24"/>
          <w:szCs w:val="24"/>
          <w:lang w:val="en-GB"/>
        </w:rPr>
        <w:t xml:space="preserve">Conversano, 2019; </w:t>
      </w:r>
      <w:r w:rsidR="007A2527" w:rsidRPr="007A2527">
        <w:rPr>
          <w:rFonts w:ascii="Garamond" w:hAnsi="Garamond"/>
          <w:sz w:val="24"/>
          <w:szCs w:val="24"/>
          <w:lang w:val="en-GB"/>
        </w:rPr>
        <w:t>Hyphantis et al., 2010;</w:t>
      </w:r>
      <w:r w:rsidR="007A2527">
        <w:rPr>
          <w:rFonts w:ascii="Garamond" w:hAnsi="Garamond"/>
          <w:sz w:val="24"/>
          <w:szCs w:val="24"/>
          <w:lang w:val="en-GB"/>
        </w:rPr>
        <w:t xml:space="preserve"> </w:t>
      </w:r>
      <w:r w:rsidR="007A2527" w:rsidRPr="00DD4905">
        <w:rPr>
          <w:rFonts w:ascii="Garamond" w:hAnsi="Garamond"/>
          <w:sz w:val="24"/>
          <w:szCs w:val="24"/>
          <w:lang w:val="en-GB"/>
        </w:rPr>
        <w:t>Hunter</w:t>
      </w:r>
      <w:r w:rsidR="007A2527">
        <w:rPr>
          <w:rFonts w:ascii="Garamond" w:hAnsi="Garamond"/>
          <w:sz w:val="24"/>
          <w:szCs w:val="24"/>
          <w:lang w:val="en-GB"/>
        </w:rPr>
        <w:t xml:space="preserve"> et al., 2014; </w:t>
      </w:r>
      <w:r w:rsidR="00DD4905">
        <w:rPr>
          <w:rFonts w:ascii="Garamond" w:hAnsi="Garamond"/>
          <w:sz w:val="24"/>
          <w:szCs w:val="24"/>
          <w:lang w:val="en-GB"/>
        </w:rPr>
        <w:t>Merlo, 2019</w:t>
      </w:r>
      <w:r w:rsidR="007A2527">
        <w:rPr>
          <w:rFonts w:ascii="Garamond" w:hAnsi="Garamond"/>
          <w:sz w:val="24"/>
          <w:szCs w:val="24"/>
          <w:lang w:val="en-GB"/>
        </w:rPr>
        <w:t>; Settineri &amp; Merlo, 2019</w:t>
      </w:r>
      <w:r w:rsidR="00DD4905">
        <w:rPr>
          <w:rFonts w:ascii="Garamond" w:hAnsi="Garamond"/>
          <w:sz w:val="24"/>
          <w:szCs w:val="24"/>
          <w:lang w:val="en-GB"/>
        </w:rPr>
        <w:t xml:space="preserve">). </w:t>
      </w:r>
      <w:r w:rsidR="00DD4905" w:rsidRPr="00DD4905">
        <w:rPr>
          <w:rFonts w:ascii="Garamond" w:hAnsi="Garamond"/>
          <w:sz w:val="24"/>
          <w:szCs w:val="24"/>
          <w:lang w:val="en-GB"/>
        </w:rPr>
        <w:t>The vastness of the topics covered pushes us to continually confront ourselves with different realities and research needs, which always have in mind the clinic, therefore the diagnosis and treatment of disorders deriving from psychological and physical factors</w:t>
      </w:r>
      <w:r w:rsidR="00DD4905">
        <w:rPr>
          <w:rFonts w:ascii="Garamond" w:hAnsi="Garamond"/>
          <w:sz w:val="24"/>
          <w:szCs w:val="24"/>
          <w:lang w:val="en-GB"/>
        </w:rPr>
        <w:t xml:space="preserve"> (Belar, 1995; Martino et al., 2019; </w:t>
      </w:r>
      <w:r w:rsidR="00DD4905" w:rsidRPr="00DD4905">
        <w:rPr>
          <w:rFonts w:ascii="Garamond" w:hAnsi="Garamond"/>
          <w:sz w:val="24"/>
          <w:szCs w:val="24"/>
          <w:lang w:val="en-GB"/>
        </w:rPr>
        <w:t>Rozensky</w:t>
      </w:r>
      <w:r w:rsidR="00DD4905" w:rsidRPr="00DD4905">
        <w:rPr>
          <w:rFonts w:ascii="Garamond" w:hAnsi="Garamond"/>
          <w:sz w:val="24"/>
          <w:szCs w:val="24"/>
          <w:lang w:val="en-GB"/>
        </w:rPr>
        <w:t xml:space="preserve"> </w:t>
      </w:r>
      <w:r w:rsidR="00DD4905">
        <w:rPr>
          <w:rFonts w:ascii="Garamond" w:hAnsi="Garamond"/>
          <w:sz w:val="24"/>
          <w:szCs w:val="24"/>
          <w:lang w:val="en-GB"/>
        </w:rPr>
        <w:t xml:space="preserve">, 1994; </w:t>
      </w:r>
      <w:r w:rsidR="00DD4905" w:rsidRPr="00DD4905">
        <w:rPr>
          <w:rFonts w:ascii="Garamond" w:hAnsi="Garamond"/>
          <w:sz w:val="24"/>
          <w:szCs w:val="24"/>
          <w:lang w:val="en-GB"/>
        </w:rPr>
        <w:t>Rozensky</w:t>
      </w:r>
      <w:r w:rsidR="00DD4905">
        <w:rPr>
          <w:rFonts w:ascii="Garamond" w:hAnsi="Garamond"/>
          <w:sz w:val="24"/>
          <w:szCs w:val="24"/>
          <w:lang w:val="en-GB"/>
        </w:rPr>
        <w:t xml:space="preserve"> et al., 2013; Sweet e al.</w:t>
      </w:r>
      <w:r w:rsidR="007A2527">
        <w:rPr>
          <w:rFonts w:ascii="Garamond" w:hAnsi="Garamond"/>
          <w:sz w:val="24"/>
          <w:szCs w:val="24"/>
          <w:lang w:val="en-GB"/>
        </w:rPr>
        <w:t>,</w:t>
      </w:r>
      <w:r w:rsidR="00DD4905">
        <w:rPr>
          <w:rFonts w:ascii="Garamond" w:hAnsi="Garamond"/>
          <w:sz w:val="24"/>
          <w:szCs w:val="24"/>
          <w:lang w:val="en-GB"/>
        </w:rPr>
        <w:t xml:space="preserve"> </w:t>
      </w:r>
      <w:r w:rsidR="007A2527">
        <w:rPr>
          <w:rFonts w:ascii="Garamond" w:hAnsi="Garamond"/>
          <w:sz w:val="24"/>
          <w:szCs w:val="24"/>
          <w:lang w:val="en-GB"/>
        </w:rPr>
        <w:t>1</w:t>
      </w:r>
      <w:r w:rsidR="00DD4905">
        <w:rPr>
          <w:rFonts w:ascii="Garamond" w:hAnsi="Garamond"/>
          <w:sz w:val="24"/>
          <w:szCs w:val="24"/>
          <w:lang w:val="en-GB"/>
        </w:rPr>
        <w:t xml:space="preserve">994; </w:t>
      </w:r>
      <w:r w:rsidR="00DD4905" w:rsidRPr="00DD4905">
        <w:rPr>
          <w:rFonts w:ascii="Garamond" w:hAnsi="Garamond"/>
          <w:sz w:val="24"/>
          <w:szCs w:val="24"/>
          <w:lang w:val="en-GB"/>
        </w:rPr>
        <w:t>Tovian</w:t>
      </w:r>
      <w:r w:rsidR="00DD4905">
        <w:rPr>
          <w:rFonts w:ascii="Garamond" w:hAnsi="Garamond"/>
          <w:sz w:val="24"/>
          <w:szCs w:val="24"/>
          <w:lang w:val="en-GB"/>
        </w:rPr>
        <w:t xml:space="preserve"> et al., 2013). </w:t>
      </w:r>
    </w:p>
    <w:p w14:paraId="285F4C3B" w14:textId="35F09EA0" w:rsidR="00B45FC9" w:rsidRDefault="00DD4905">
      <w:pPr>
        <w:rPr>
          <w:rFonts w:ascii="Garamond" w:hAnsi="Garamond"/>
          <w:sz w:val="24"/>
          <w:szCs w:val="24"/>
          <w:lang w:val="en-GB"/>
        </w:rPr>
      </w:pPr>
      <w:r w:rsidRPr="00DD4905">
        <w:rPr>
          <w:rFonts w:ascii="Garamond" w:hAnsi="Garamond"/>
          <w:sz w:val="24"/>
          <w:szCs w:val="24"/>
          <w:lang w:val="en-GB"/>
        </w:rPr>
        <w:t xml:space="preserve">The clinical implications of this scientific </w:t>
      </w:r>
      <w:r>
        <w:rPr>
          <w:rFonts w:ascii="Garamond" w:hAnsi="Garamond"/>
          <w:sz w:val="24"/>
          <w:szCs w:val="24"/>
          <w:lang w:val="en-GB"/>
        </w:rPr>
        <w:t>path</w:t>
      </w:r>
      <w:r w:rsidRPr="00DD4905">
        <w:rPr>
          <w:rFonts w:ascii="Garamond" w:hAnsi="Garamond"/>
          <w:sz w:val="24"/>
          <w:szCs w:val="24"/>
          <w:lang w:val="en-GB"/>
        </w:rPr>
        <w:t xml:space="preserve"> are </w:t>
      </w:r>
      <w:r>
        <w:rPr>
          <w:rFonts w:ascii="Garamond" w:hAnsi="Garamond"/>
          <w:sz w:val="24"/>
          <w:szCs w:val="24"/>
          <w:lang w:val="en-GB"/>
        </w:rPr>
        <w:t>always</w:t>
      </w:r>
      <w:r w:rsidRPr="00DD4905">
        <w:rPr>
          <w:rFonts w:ascii="Garamond" w:hAnsi="Garamond"/>
          <w:sz w:val="24"/>
          <w:szCs w:val="24"/>
          <w:lang w:val="en-GB"/>
        </w:rPr>
        <w:t xml:space="preserve"> interesting, although there is always a need to investigate the reasons that exist in the relationships between subjects and clinicians, as well as all the issues relating to the </w:t>
      </w:r>
      <w:r>
        <w:rPr>
          <w:rFonts w:ascii="Garamond" w:hAnsi="Garamond"/>
          <w:sz w:val="24"/>
          <w:szCs w:val="24"/>
          <w:lang w:val="en-GB"/>
        </w:rPr>
        <w:t>education</w:t>
      </w:r>
      <w:r w:rsidRPr="00DD4905">
        <w:rPr>
          <w:rFonts w:ascii="Garamond" w:hAnsi="Garamond"/>
          <w:sz w:val="24"/>
          <w:szCs w:val="24"/>
          <w:lang w:val="en-GB"/>
        </w:rPr>
        <w:t xml:space="preserve"> of clinicians</w:t>
      </w:r>
      <w:r>
        <w:rPr>
          <w:rFonts w:ascii="Garamond" w:hAnsi="Garamond"/>
          <w:sz w:val="24"/>
          <w:szCs w:val="24"/>
          <w:lang w:val="en-GB"/>
        </w:rPr>
        <w:t xml:space="preserve"> (</w:t>
      </w:r>
      <w:r w:rsidR="001A5DC7">
        <w:rPr>
          <w:rFonts w:ascii="Garamond" w:hAnsi="Garamond"/>
          <w:sz w:val="24"/>
          <w:szCs w:val="24"/>
          <w:lang w:val="en-GB"/>
        </w:rPr>
        <w:t xml:space="preserve">Fusco et al., 2019; </w:t>
      </w:r>
      <w:r>
        <w:rPr>
          <w:rFonts w:ascii="Garamond" w:hAnsi="Garamond"/>
          <w:sz w:val="24"/>
          <w:szCs w:val="24"/>
          <w:lang w:val="en-GB"/>
        </w:rPr>
        <w:t>Caputo, 2013</w:t>
      </w:r>
      <w:r w:rsidR="001A5DC7">
        <w:rPr>
          <w:rFonts w:ascii="Garamond" w:hAnsi="Garamond"/>
          <w:sz w:val="24"/>
          <w:szCs w:val="24"/>
          <w:lang w:val="en-GB"/>
        </w:rPr>
        <w:t>; Caputo et al., 2020a, 2020b</w:t>
      </w:r>
      <w:r>
        <w:rPr>
          <w:rFonts w:ascii="Garamond" w:hAnsi="Garamond"/>
          <w:sz w:val="24"/>
          <w:szCs w:val="24"/>
          <w:lang w:val="en-GB"/>
        </w:rPr>
        <w:t xml:space="preserve">; </w:t>
      </w:r>
      <w:r w:rsidR="001A5DC7">
        <w:rPr>
          <w:rFonts w:ascii="Garamond" w:hAnsi="Garamond"/>
          <w:sz w:val="24"/>
          <w:szCs w:val="24"/>
          <w:lang w:val="en-GB"/>
        </w:rPr>
        <w:t xml:space="preserve">Fregonese et al., 2018; Parola &amp; Donsì, 2019; </w:t>
      </w:r>
      <w:r>
        <w:rPr>
          <w:rFonts w:ascii="Garamond" w:hAnsi="Garamond"/>
          <w:sz w:val="24"/>
          <w:szCs w:val="24"/>
          <w:lang w:val="en-GB"/>
        </w:rPr>
        <w:t xml:space="preserve">Settineri et al., 2018; </w:t>
      </w:r>
      <w:r w:rsidRPr="00DD4905">
        <w:rPr>
          <w:rFonts w:ascii="Garamond" w:hAnsi="Garamond"/>
          <w:sz w:val="24"/>
          <w:szCs w:val="24"/>
          <w:lang w:val="en-GB"/>
        </w:rPr>
        <w:t>.</w:t>
      </w:r>
    </w:p>
    <w:p w14:paraId="21E164E9" w14:textId="262DC22D" w:rsidR="00DD4905" w:rsidRDefault="001A5DC7">
      <w:pPr>
        <w:rPr>
          <w:rFonts w:ascii="Garamond" w:hAnsi="Garamond"/>
          <w:sz w:val="24"/>
          <w:szCs w:val="24"/>
          <w:lang w:val="en-GB"/>
        </w:rPr>
      </w:pPr>
      <w:r w:rsidRPr="001A5DC7">
        <w:rPr>
          <w:rFonts w:ascii="Garamond" w:hAnsi="Garamond"/>
          <w:sz w:val="24"/>
          <w:szCs w:val="24"/>
          <w:lang w:val="en-GB"/>
        </w:rPr>
        <w:t>It is evident that these implications involve both figures of the therapeutic alliance</w:t>
      </w:r>
      <w:r>
        <w:rPr>
          <w:rFonts w:ascii="Garamond" w:hAnsi="Garamond"/>
          <w:sz w:val="24"/>
          <w:szCs w:val="24"/>
          <w:lang w:val="en-GB"/>
        </w:rPr>
        <w:t xml:space="preserve"> (Di Giuseppe et al., 2019; Di Giuseppe et al., 2020)</w:t>
      </w:r>
      <w:r w:rsidRPr="001A5DC7">
        <w:rPr>
          <w:rFonts w:ascii="Garamond" w:hAnsi="Garamond"/>
          <w:sz w:val="24"/>
          <w:szCs w:val="24"/>
          <w:lang w:val="en-GB"/>
        </w:rPr>
        <w:t>, strongly and retroactively influencing the outcome of interventions, diagnoses and therapies</w:t>
      </w:r>
      <w:r>
        <w:rPr>
          <w:rFonts w:ascii="Garamond" w:hAnsi="Garamond"/>
          <w:sz w:val="24"/>
          <w:szCs w:val="24"/>
          <w:lang w:val="en-GB"/>
        </w:rPr>
        <w:t xml:space="preserve"> (</w:t>
      </w:r>
      <w:r w:rsidR="00303A90">
        <w:rPr>
          <w:rFonts w:ascii="Garamond" w:hAnsi="Garamond"/>
          <w:sz w:val="24"/>
          <w:szCs w:val="24"/>
          <w:lang w:val="en-GB"/>
        </w:rPr>
        <w:t xml:space="preserve">Brunton, 2017; </w:t>
      </w:r>
      <w:r>
        <w:rPr>
          <w:rFonts w:ascii="Garamond" w:hAnsi="Garamond"/>
          <w:sz w:val="24"/>
          <w:szCs w:val="24"/>
          <w:lang w:val="en-GB"/>
        </w:rPr>
        <w:t>Settineri et al., 2019</w:t>
      </w:r>
      <w:r w:rsidR="001A12D8">
        <w:rPr>
          <w:rFonts w:ascii="Garamond" w:hAnsi="Garamond"/>
          <w:sz w:val="24"/>
          <w:szCs w:val="24"/>
          <w:lang w:val="en-GB"/>
        </w:rPr>
        <w:t>; Tilson, 2004)</w:t>
      </w:r>
      <w:r w:rsidRPr="001A5DC7">
        <w:rPr>
          <w:rFonts w:ascii="Garamond" w:hAnsi="Garamond"/>
          <w:sz w:val="24"/>
          <w:szCs w:val="24"/>
          <w:lang w:val="en-GB"/>
        </w:rPr>
        <w:t>.</w:t>
      </w:r>
    </w:p>
    <w:p w14:paraId="0D016916" w14:textId="6470F7CC" w:rsidR="009E6E31" w:rsidRDefault="009E6E31">
      <w:pPr>
        <w:rPr>
          <w:rFonts w:ascii="Garamond" w:hAnsi="Garamond"/>
          <w:sz w:val="24"/>
          <w:szCs w:val="24"/>
          <w:lang w:val="en-GB"/>
        </w:rPr>
      </w:pPr>
      <w:r w:rsidRPr="009E6E31">
        <w:rPr>
          <w:rFonts w:ascii="Garamond" w:hAnsi="Garamond"/>
          <w:sz w:val="24"/>
          <w:szCs w:val="24"/>
          <w:lang w:val="en-GB"/>
        </w:rPr>
        <w:t>Your psychopathological question can be considered as a "bridge" between the somatic and the psychic, reducing the alternatives posed by the somatic and the psychic in a unitary perspective.</w:t>
      </w:r>
      <w:r>
        <w:rPr>
          <w:rFonts w:ascii="Garamond" w:hAnsi="Garamond"/>
          <w:sz w:val="24"/>
          <w:szCs w:val="24"/>
          <w:lang w:val="en-GB"/>
        </w:rPr>
        <w:t xml:space="preserve"> </w:t>
      </w:r>
      <w:r w:rsidR="00A657F9" w:rsidRPr="00A657F9">
        <w:rPr>
          <w:rFonts w:ascii="Garamond" w:hAnsi="Garamond"/>
          <w:sz w:val="24"/>
          <w:szCs w:val="24"/>
          <w:lang w:val="en-GB"/>
        </w:rPr>
        <w:t xml:space="preserve">This fact is fundamental, considering all the research efforts useful to break down the distinctions between mind and body, as in the case of Damasio </w:t>
      </w:r>
      <w:r w:rsidR="00A657F9">
        <w:rPr>
          <w:rFonts w:ascii="Garamond" w:hAnsi="Garamond"/>
          <w:sz w:val="24"/>
          <w:szCs w:val="24"/>
          <w:lang w:val="en-GB"/>
        </w:rPr>
        <w:t xml:space="preserve">(1995) </w:t>
      </w:r>
      <w:r w:rsidR="00A657F9" w:rsidRPr="00A657F9">
        <w:rPr>
          <w:rFonts w:ascii="Garamond" w:hAnsi="Garamond"/>
          <w:sz w:val="24"/>
          <w:szCs w:val="24"/>
          <w:lang w:val="en-GB"/>
        </w:rPr>
        <w:t>and subsequent research data and with particular reference to the phenomenological debates still in progress</w:t>
      </w:r>
      <w:r w:rsidR="00A657F9">
        <w:rPr>
          <w:rFonts w:ascii="Garamond" w:hAnsi="Garamond"/>
          <w:sz w:val="24"/>
          <w:szCs w:val="24"/>
          <w:lang w:val="en-GB"/>
        </w:rPr>
        <w:t xml:space="preserve"> (Carrier &amp; Mittelstrass, 2019; </w:t>
      </w:r>
      <w:r w:rsidR="00A657F9" w:rsidRPr="00A657F9">
        <w:rPr>
          <w:rFonts w:ascii="Garamond" w:hAnsi="Garamond"/>
          <w:sz w:val="24"/>
          <w:szCs w:val="24"/>
          <w:lang w:val="en-GB"/>
        </w:rPr>
        <w:t xml:space="preserve">Frith, &amp; Gallagher, </w:t>
      </w:r>
      <w:r w:rsidR="00A657F9">
        <w:rPr>
          <w:rFonts w:ascii="Garamond" w:hAnsi="Garamond"/>
          <w:sz w:val="24"/>
          <w:szCs w:val="24"/>
          <w:lang w:val="en-GB"/>
        </w:rPr>
        <w:t xml:space="preserve">2002; Gallagher, 1986; Motofei &amp; Rowland2015, 2016, 2018; </w:t>
      </w:r>
      <w:r w:rsidR="00A657F9" w:rsidRPr="00A657F9">
        <w:rPr>
          <w:rFonts w:ascii="Garamond" w:hAnsi="Garamond"/>
          <w:sz w:val="24"/>
          <w:szCs w:val="24"/>
          <w:lang w:val="en-GB"/>
        </w:rPr>
        <w:t>Röhricht</w:t>
      </w:r>
      <w:r w:rsidR="00A657F9">
        <w:rPr>
          <w:rFonts w:ascii="Garamond" w:hAnsi="Garamond"/>
          <w:sz w:val="24"/>
          <w:szCs w:val="24"/>
          <w:lang w:val="en-GB"/>
        </w:rPr>
        <w:t xml:space="preserve"> et al., 2014)</w:t>
      </w:r>
      <w:r w:rsidR="00A657F9" w:rsidRPr="00A657F9">
        <w:rPr>
          <w:rFonts w:ascii="Garamond" w:hAnsi="Garamond"/>
          <w:sz w:val="24"/>
          <w:szCs w:val="24"/>
          <w:lang w:val="en-GB"/>
        </w:rPr>
        <w:t>. Your consideration of the treated</w:t>
      </w:r>
      <w:r w:rsidR="00A657F9" w:rsidRPr="00A657F9">
        <w:rPr>
          <w:rFonts w:ascii="Garamond" w:hAnsi="Garamond"/>
          <w:sz w:val="24"/>
          <w:szCs w:val="24"/>
          <w:lang w:val="en-GB"/>
        </w:rPr>
        <w:t xml:space="preserve"> </w:t>
      </w:r>
      <w:r w:rsidR="00A657F9" w:rsidRPr="00A657F9">
        <w:rPr>
          <w:rFonts w:ascii="Garamond" w:hAnsi="Garamond"/>
          <w:sz w:val="24"/>
          <w:szCs w:val="24"/>
          <w:lang w:val="en-GB"/>
        </w:rPr>
        <w:t xml:space="preserve">phenomena certainly brings research closer to topics of fundamental importance, which require a </w:t>
      </w:r>
      <w:r w:rsidR="00A657F9">
        <w:rPr>
          <w:rFonts w:ascii="Garamond" w:hAnsi="Garamond"/>
          <w:sz w:val="24"/>
          <w:szCs w:val="24"/>
          <w:lang w:val="en-GB"/>
        </w:rPr>
        <w:t xml:space="preserve">consistent </w:t>
      </w:r>
      <w:r w:rsidR="00A657F9" w:rsidRPr="00A657F9">
        <w:rPr>
          <w:rFonts w:ascii="Garamond" w:hAnsi="Garamond"/>
          <w:sz w:val="24"/>
          <w:szCs w:val="24"/>
          <w:lang w:val="en-GB"/>
        </w:rPr>
        <w:t>study effort.</w:t>
      </w:r>
      <w:r w:rsidR="00A657F9">
        <w:rPr>
          <w:rFonts w:ascii="Garamond" w:hAnsi="Garamond"/>
          <w:sz w:val="24"/>
          <w:szCs w:val="24"/>
          <w:lang w:val="en-GB"/>
        </w:rPr>
        <w:t xml:space="preserve"> </w:t>
      </w:r>
    </w:p>
    <w:p w14:paraId="447EF51D" w14:textId="2770760A" w:rsidR="009E6E31" w:rsidRDefault="009E6E31">
      <w:pPr>
        <w:rPr>
          <w:rFonts w:ascii="Garamond" w:hAnsi="Garamond"/>
          <w:sz w:val="24"/>
          <w:szCs w:val="24"/>
          <w:lang w:val="en-GB"/>
        </w:rPr>
      </w:pPr>
      <w:r w:rsidRPr="009E6E31">
        <w:rPr>
          <w:rFonts w:ascii="Garamond" w:hAnsi="Garamond"/>
          <w:sz w:val="24"/>
          <w:szCs w:val="24"/>
          <w:lang w:val="en-GB"/>
        </w:rPr>
        <w:t>It is surprising how an application, such as that posed by transcranial stimulations, can be applied in several fields with appropriate technological adjustments. It is equally interesting to point out to our readers how, maintaining the rigor of scientific literature, we can suggest something that interests the public in terms of application paths such as the requests coming from a rational algic symptomatology linked to the phantom limb.</w:t>
      </w:r>
    </w:p>
    <w:p w14:paraId="3D1699CB" w14:textId="1C9CC2E1" w:rsidR="00A657F9" w:rsidRDefault="00BA2090">
      <w:pPr>
        <w:rPr>
          <w:rFonts w:ascii="Garamond" w:hAnsi="Garamond"/>
          <w:sz w:val="24"/>
          <w:szCs w:val="24"/>
          <w:lang w:val="en-GB"/>
        </w:rPr>
      </w:pPr>
      <w:r w:rsidRPr="00BA2090">
        <w:rPr>
          <w:rFonts w:ascii="Garamond" w:hAnsi="Garamond"/>
          <w:sz w:val="24"/>
          <w:szCs w:val="24"/>
          <w:lang w:val="en-GB"/>
        </w:rPr>
        <w:t>Starting from the contribution of Bocci et al. (2019), strongly centered on the theme, it is possible that the discourse assumes inferential characteristics that also allow</w:t>
      </w:r>
      <w:r>
        <w:rPr>
          <w:rFonts w:ascii="Garamond" w:hAnsi="Garamond"/>
          <w:sz w:val="24"/>
          <w:szCs w:val="24"/>
          <w:lang w:val="en-GB"/>
        </w:rPr>
        <w:t xml:space="preserve"> the reader</w:t>
      </w:r>
      <w:r w:rsidRPr="00BA2090">
        <w:rPr>
          <w:rFonts w:ascii="Garamond" w:hAnsi="Garamond"/>
          <w:sz w:val="24"/>
          <w:szCs w:val="24"/>
          <w:lang w:val="en-GB"/>
        </w:rPr>
        <w:t xml:space="preserve"> t</w:t>
      </w:r>
      <w:r>
        <w:rPr>
          <w:rFonts w:ascii="Garamond" w:hAnsi="Garamond"/>
          <w:sz w:val="24"/>
          <w:szCs w:val="24"/>
          <w:lang w:val="en-GB"/>
        </w:rPr>
        <w:t>o</w:t>
      </w:r>
      <w:r w:rsidRPr="00BA2090">
        <w:rPr>
          <w:rFonts w:ascii="Garamond" w:hAnsi="Garamond"/>
          <w:sz w:val="24"/>
          <w:szCs w:val="24"/>
          <w:lang w:val="en-GB"/>
        </w:rPr>
        <w:t xml:space="preserve"> compar</w:t>
      </w:r>
      <w:r>
        <w:rPr>
          <w:rFonts w:ascii="Garamond" w:hAnsi="Garamond"/>
          <w:sz w:val="24"/>
          <w:szCs w:val="24"/>
          <w:lang w:val="en-GB"/>
        </w:rPr>
        <w:t>e authors’ research experiences directly mastered</w:t>
      </w:r>
      <w:r w:rsidRPr="00BA2090">
        <w:rPr>
          <w:rFonts w:ascii="Garamond" w:hAnsi="Garamond"/>
          <w:sz w:val="24"/>
          <w:szCs w:val="24"/>
          <w:lang w:val="en-GB"/>
        </w:rPr>
        <w:t xml:space="preserve"> </w:t>
      </w:r>
      <w:r>
        <w:rPr>
          <w:rFonts w:ascii="Garamond" w:hAnsi="Garamond"/>
          <w:sz w:val="24"/>
          <w:szCs w:val="24"/>
          <w:lang w:val="en-GB"/>
        </w:rPr>
        <w:t xml:space="preserve">and </w:t>
      </w:r>
      <w:r w:rsidRPr="00BA2090">
        <w:rPr>
          <w:rFonts w:ascii="Garamond" w:hAnsi="Garamond"/>
          <w:sz w:val="24"/>
          <w:szCs w:val="24"/>
          <w:lang w:val="en-GB"/>
        </w:rPr>
        <w:t>data known in the literature and relating to other academic</w:t>
      </w:r>
      <w:r w:rsidR="007A2527">
        <w:rPr>
          <w:rFonts w:ascii="Garamond" w:hAnsi="Garamond"/>
          <w:sz w:val="24"/>
          <w:szCs w:val="24"/>
          <w:lang w:val="en-GB"/>
        </w:rPr>
        <w:t xml:space="preserve"> </w:t>
      </w:r>
      <w:r w:rsidRPr="00BA2090">
        <w:rPr>
          <w:rFonts w:ascii="Garamond" w:hAnsi="Garamond"/>
          <w:sz w:val="24"/>
          <w:szCs w:val="24"/>
          <w:lang w:val="en-GB"/>
        </w:rPr>
        <w:t>realities</w:t>
      </w:r>
      <w:r w:rsidR="007A2527">
        <w:rPr>
          <w:rFonts w:ascii="Garamond" w:hAnsi="Garamond"/>
          <w:sz w:val="24"/>
          <w:szCs w:val="24"/>
          <w:lang w:val="en-GB"/>
        </w:rPr>
        <w:t xml:space="preserve"> </w:t>
      </w:r>
      <w:r w:rsidR="007A2527" w:rsidRPr="007A2527">
        <w:rPr>
          <w:rFonts w:ascii="Garamond" w:hAnsi="Garamond"/>
          <w:sz w:val="24"/>
          <w:szCs w:val="24"/>
          <w:lang w:val="en-GB"/>
        </w:rPr>
        <w:t>(Bolognini et al., 2013; Hesse et al., 2011; Orrù et al., 2019, 2020; Pan et al., 2015; Vicario et al., 2019; Sattler et al., 2015)</w:t>
      </w:r>
      <w:r w:rsidRPr="00BA2090">
        <w:rPr>
          <w:rFonts w:ascii="Garamond" w:hAnsi="Garamond"/>
          <w:sz w:val="24"/>
          <w:szCs w:val="24"/>
          <w:lang w:val="en-GB"/>
        </w:rPr>
        <w:t>.</w:t>
      </w:r>
      <w:r w:rsidR="007A2527">
        <w:rPr>
          <w:rFonts w:ascii="Garamond" w:hAnsi="Garamond"/>
          <w:sz w:val="24"/>
          <w:szCs w:val="24"/>
          <w:lang w:val="en-GB"/>
        </w:rPr>
        <w:t xml:space="preserve"> </w:t>
      </w:r>
    </w:p>
    <w:p w14:paraId="44ECE703" w14:textId="6D782E2A" w:rsidR="00A42437" w:rsidRDefault="00A42437">
      <w:pPr>
        <w:rPr>
          <w:rFonts w:ascii="Garamond" w:hAnsi="Garamond"/>
          <w:sz w:val="24"/>
          <w:szCs w:val="24"/>
          <w:lang w:val="en-GB"/>
        </w:rPr>
      </w:pPr>
      <w:r w:rsidRPr="00A42437">
        <w:rPr>
          <w:rFonts w:ascii="Garamond" w:hAnsi="Garamond"/>
          <w:sz w:val="24"/>
          <w:szCs w:val="24"/>
          <w:lang w:val="en-GB"/>
        </w:rPr>
        <w:lastRenderedPageBreak/>
        <w:t xml:space="preserve">The clinical practice to which Clinical Psychology is addressed needs to underline the applicative aspects of the research, indicating first of all the various interdisciplinary areas to which it is addressed and which include the modulation of the psychological effects related to loss (depression) and the plastic organization of the neuronal system (Doan </w:t>
      </w:r>
      <w:r>
        <w:rPr>
          <w:rFonts w:ascii="Garamond" w:hAnsi="Garamond"/>
          <w:sz w:val="24"/>
          <w:szCs w:val="24"/>
          <w:lang w:val="en-GB"/>
        </w:rPr>
        <w:t>et al.,</w:t>
      </w:r>
      <w:r w:rsidRPr="00A42437">
        <w:rPr>
          <w:rFonts w:ascii="Garamond" w:hAnsi="Garamond"/>
          <w:sz w:val="24"/>
          <w:szCs w:val="24"/>
          <w:lang w:val="en-GB"/>
        </w:rPr>
        <w:t xml:space="preserve"> 2015); in fact, even in the latest in-depth reviews, it is known how pain is legitimized in the "mare magnum" of mood disorders both metaphorically and by historical origin of the neurological pathology addressed by Silas Weir Mitchell identified in the context of the American Civil War</w:t>
      </w:r>
      <w:r>
        <w:rPr>
          <w:rFonts w:ascii="Garamond" w:hAnsi="Garamond"/>
          <w:sz w:val="24"/>
          <w:szCs w:val="24"/>
          <w:lang w:val="en-GB"/>
        </w:rPr>
        <w:t xml:space="preserve"> (</w:t>
      </w:r>
      <w:r w:rsidRPr="00A42437">
        <w:rPr>
          <w:rFonts w:ascii="Garamond" w:hAnsi="Garamond"/>
          <w:sz w:val="24"/>
          <w:szCs w:val="24"/>
          <w:lang w:val="en-GB"/>
        </w:rPr>
        <w:t>Boller &amp; Birnbaum</w:t>
      </w:r>
      <w:r>
        <w:rPr>
          <w:rFonts w:ascii="Garamond" w:hAnsi="Garamond"/>
          <w:sz w:val="24"/>
          <w:szCs w:val="24"/>
          <w:lang w:val="en-GB"/>
        </w:rPr>
        <w:t>, 2016</w:t>
      </w:r>
      <w:r w:rsidRPr="00A42437">
        <w:rPr>
          <w:rFonts w:ascii="Garamond" w:hAnsi="Garamond"/>
          <w:sz w:val="24"/>
          <w:szCs w:val="24"/>
          <w:lang w:val="en-GB"/>
        </w:rPr>
        <w:t>)</w:t>
      </w:r>
      <w:r>
        <w:rPr>
          <w:rFonts w:ascii="Garamond" w:hAnsi="Garamond"/>
          <w:sz w:val="24"/>
          <w:szCs w:val="24"/>
          <w:lang w:val="en-GB"/>
        </w:rPr>
        <w:t>.</w:t>
      </w:r>
    </w:p>
    <w:p w14:paraId="380558C9" w14:textId="6CE50848" w:rsidR="00A657F9" w:rsidRDefault="005A3D18">
      <w:pPr>
        <w:rPr>
          <w:rFonts w:ascii="Garamond" w:hAnsi="Garamond"/>
          <w:sz w:val="24"/>
          <w:szCs w:val="24"/>
          <w:lang w:val="en-GB"/>
        </w:rPr>
      </w:pPr>
      <w:r w:rsidRPr="005A3D18">
        <w:rPr>
          <w:rFonts w:ascii="Garamond" w:hAnsi="Garamond"/>
          <w:sz w:val="24"/>
          <w:szCs w:val="24"/>
          <w:lang w:val="en-GB"/>
        </w:rPr>
        <w:t>Of course, the studies that followed Mitchell's have increased the insights thanks to all the wars that have followed the author's intuitions. Today the pathologies of the phantom limb have been reduced due to the military origin but are equally represented in the trauma field and this justifies the relative reflections that are placed side by side with the other rehabilitative contributions. The letter that you place as a signal of a therapeutic device aimed at reducing pain raises questions that go beyond the terms of effectiveness of the instrument, the trans-cranial stimulation, whose practical power is also intuitable for the fewer undesirable effects compared to the family of analgesics.</w:t>
      </w:r>
    </w:p>
    <w:p w14:paraId="414BD1F9" w14:textId="60C36858" w:rsidR="005A3D18" w:rsidRPr="005A3D18" w:rsidRDefault="005A3D18" w:rsidP="005A3D18">
      <w:pPr>
        <w:rPr>
          <w:rFonts w:ascii="Garamond" w:hAnsi="Garamond"/>
          <w:sz w:val="24"/>
          <w:szCs w:val="24"/>
          <w:lang w:val="en-GB"/>
        </w:rPr>
      </w:pPr>
      <w:r w:rsidRPr="005A3D18">
        <w:rPr>
          <w:rFonts w:ascii="Garamond" w:hAnsi="Garamond"/>
          <w:sz w:val="24"/>
          <w:szCs w:val="24"/>
          <w:lang w:val="en-GB"/>
        </w:rPr>
        <w:t xml:space="preserve">The bibliographic indications, promptly indicated, let us reflect that the instrument, regardless of the etiopathogenetic articulation, improves the quality of life even if in fact it seems empirically unclear for a </w:t>
      </w:r>
      <w:r w:rsidRPr="00D62188">
        <w:rPr>
          <w:rFonts w:ascii="Garamond" w:hAnsi="Garamond"/>
          <w:i/>
          <w:iCs/>
          <w:sz w:val="24"/>
          <w:szCs w:val="24"/>
          <w:lang w:val="en-GB"/>
        </w:rPr>
        <w:t>restitutio ad integrum</w:t>
      </w:r>
      <w:r w:rsidR="00D62188">
        <w:rPr>
          <w:rFonts w:ascii="Garamond" w:hAnsi="Garamond"/>
          <w:sz w:val="24"/>
          <w:szCs w:val="24"/>
          <w:lang w:val="en-GB"/>
        </w:rPr>
        <w:t xml:space="preserve"> </w:t>
      </w:r>
      <w:r w:rsidRPr="005A3D18">
        <w:rPr>
          <w:rFonts w:ascii="Garamond" w:hAnsi="Garamond"/>
          <w:sz w:val="24"/>
          <w:szCs w:val="24"/>
          <w:lang w:val="en-GB"/>
        </w:rPr>
        <w:t>on the ability to intervene in terms of neuronal networks but it is known in medicine that many successes are linked to empiricism that subsequent demonstrations will be able to modify its explanation parallel to symptomatic relief. Nevertheless, I congratulate you on the clarity in the description of the method which in these cases is the premise of reproducibility and therefore of the comparison with other applicative proposals.</w:t>
      </w:r>
    </w:p>
    <w:p w14:paraId="297BAD57" w14:textId="14C31F9E" w:rsidR="005A3D18" w:rsidRDefault="005A3D18" w:rsidP="005A3D18">
      <w:pPr>
        <w:rPr>
          <w:rFonts w:ascii="Garamond" w:hAnsi="Garamond"/>
          <w:sz w:val="24"/>
          <w:szCs w:val="24"/>
          <w:lang w:val="en-GB"/>
        </w:rPr>
      </w:pPr>
      <w:r w:rsidRPr="005A3D18">
        <w:rPr>
          <w:rFonts w:ascii="Garamond" w:hAnsi="Garamond"/>
          <w:sz w:val="24"/>
          <w:szCs w:val="24"/>
          <w:lang w:val="en-GB"/>
        </w:rPr>
        <w:t>In conclusion, it is expected that new works can expand the data reported by you in a particular way if they come from consolidated clinical protocols.</w:t>
      </w:r>
    </w:p>
    <w:p w14:paraId="40DD7641" w14:textId="77777777" w:rsidR="00212FC7" w:rsidRDefault="00212FC7" w:rsidP="00212FC7">
      <w:pPr>
        <w:rPr>
          <w:rFonts w:ascii="Garamond" w:hAnsi="Garamond"/>
          <w:sz w:val="24"/>
          <w:szCs w:val="24"/>
          <w:lang w:val="en-GB"/>
        </w:rPr>
      </w:pPr>
    </w:p>
    <w:p w14:paraId="4227A06B" w14:textId="77777777" w:rsidR="00212FC7" w:rsidRDefault="00212FC7" w:rsidP="00212FC7">
      <w:pPr>
        <w:rPr>
          <w:rFonts w:ascii="Garamond" w:hAnsi="Garamond"/>
          <w:sz w:val="24"/>
          <w:szCs w:val="24"/>
          <w:lang w:val="en-GB"/>
        </w:rPr>
      </w:pPr>
    </w:p>
    <w:p w14:paraId="52269E00" w14:textId="77777777" w:rsidR="00212FC7" w:rsidRDefault="00212FC7" w:rsidP="00212FC7">
      <w:pPr>
        <w:rPr>
          <w:rFonts w:ascii="Garamond" w:hAnsi="Garamond"/>
          <w:sz w:val="24"/>
          <w:szCs w:val="24"/>
          <w:lang w:val="en-GB"/>
        </w:rPr>
      </w:pPr>
    </w:p>
    <w:p w14:paraId="3F33682E" w14:textId="77777777" w:rsidR="00212FC7" w:rsidRDefault="00212FC7" w:rsidP="00212FC7">
      <w:pPr>
        <w:rPr>
          <w:rFonts w:ascii="Garamond" w:hAnsi="Garamond"/>
          <w:sz w:val="24"/>
          <w:szCs w:val="24"/>
          <w:lang w:val="en-GB"/>
        </w:rPr>
      </w:pPr>
    </w:p>
    <w:p w14:paraId="08481C30" w14:textId="77777777" w:rsidR="00212FC7" w:rsidRDefault="00212FC7" w:rsidP="00212FC7">
      <w:pPr>
        <w:rPr>
          <w:rFonts w:ascii="Garamond" w:hAnsi="Garamond"/>
          <w:sz w:val="24"/>
          <w:szCs w:val="24"/>
          <w:lang w:val="en-GB"/>
        </w:rPr>
      </w:pPr>
    </w:p>
    <w:p w14:paraId="048EE993" w14:textId="77777777" w:rsidR="00212FC7" w:rsidRDefault="00212FC7" w:rsidP="00212FC7">
      <w:pPr>
        <w:rPr>
          <w:rFonts w:ascii="Garamond" w:hAnsi="Garamond"/>
          <w:sz w:val="24"/>
          <w:szCs w:val="24"/>
          <w:lang w:val="en-GB"/>
        </w:rPr>
      </w:pPr>
    </w:p>
    <w:p w14:paraId="0BA4EC49" w14:textId="77777777" w:rsidR="00212FC7" w:rsidRDefault="00212FC7" w:rsidP="00212FC7">
      <w:pPr>
        <w:rPr>
          <w:rFonts w:ascii="Garamond" w:hAnsi="Garamond"/>
          <w:sz w:val="24"/>
          <w:szCs w:val="24"/>
          <w:lang w:val="en-GB"/>
        </w:rPr>
      </w:pPr>
    </w:p>
    <w:p w14:paraId="6F081311" w14:textId="77777777" w:rsidR="00212FC7" w:rsidRDefault="00212FC7" w:rsidP="00212FC7">
      <w:pPr>
        <w:rPr>
          <w:rFonts w:ascii="Garamond" w:hAnsi="Garamond"/>
          <w:sz w:val="24"/>
          <w:szCs w:val="24"/>
          <w:lang w:val="en-GB"/>
        </w:rPr>
      </w:pPr>
    </w:p>
    <w:p w14:paraId="0BA5877E" w14:textId="77777777" w:rsidR="00212FC7" w:rsidRDefault="00212FC7" w:rsidP="00212FC7">
      <w:pPr>
        <w:rPr>
          <w:rFonts w:ascii="Garamond" w:hAnsi="Garamond"/>
          <w:sz w:val="24"/>
          <w:szCs w:val="24"/>
          <w:lang w:val="en-GB"/>
        </w:rPr>
      </w:pPr>
    </w:p>
    <w:p w14:paraId="3A29D395" w14:textId="77777777" w:rsidR="00212FC7" w:rsidRDefault="00212FC7" w:rsidP="00212FC7">
      <w:pPr>
        <w:rPr>
          <w:rFonts w:ascii="Garamond" w:hAnsi="Garamond"/>
          <w:sz w:val="24"/>
          <w:szCs w:val="24"/>
          <w:lang w:val="en-GB"/>
        </w:rPr>
      </w:pPr>
    </w:p>
    <w:p w14:paraId="29C90E4F" w14:textId="77777777" w:rsidR="00212FC7" w:rsidRDefault="00212FC7" w:rsidP="00212FC7">
      <w:pPr>
        <w:rPr>
          <w:rFonts w:ascii="Garamond" w:hAnsi="Garamond"/>
          <w:sz w:val="24"/>
          <w:szCs w:val="24"/>
          <w:lang w:val="en-GB"/>
        </w:rPr>
      </w:pPr>
    </w:p>
    <w:p w14:paraId="4A7A4FB0" w14:textId="77777777" w:rsidR="00212FC7" w:rsidRDefault="00212FC7" w:rsidP="00212FC7">
      <w:pPr>
        <w:rPr>
          <w:rFonts w:ascii="Garamond" w:hAnsi="Garamond"/>
          <w:sz w:val="24"/>
          <w:szCs w:val="24"/>
          <w:lang w:val="en-GB"/>
        </w:rPr>
      </w:pPr>
    </w:p>
    <w:p w14:paraId="706DBD79" w14:textId="514FF1DF" w:rsidR="00A657F9" w:rsidRDefault="00212FC7" w:rsidP="00212FC7">
      <w:pPr>
        <w:rPr>
          <w:rFonts w:ascii="Garamond" w:hAnsi="Garamond"/>
          <w:sz w:val="24"/>
          <w:szCs w:val="24"/>
          <w:lang w:val="en-GB"/>
        </w:rPr>
      </w:pPr>
      <w:r>
        <w:rPr>
          <w:rFonts w:ascii="Garamond" w:hAnsi="Garamond"/>
          <w:sz w:val="24"/>
          <w:szCs w:val="24"/>
          <w:lang w:val="en-GB"/>
        </w:rPr>
        <w:lastRenderedPageBreak/>
        <w:t>References</w:t>
      </w:r>
    </w:p>
    <w:p w14:paraId="77A7786E"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Belar, C. D., &amp; Deardorff, W. W. (1995). </w:t>
      </w:r>
      <w:r w:rsidRPr="00212FC7">
        <w:rPr>
          <w:rFonts w:ascii="Garamond" w:hAnsi="Garamond"/>
          <w:i/>
          <w:iCs/>
          <w:sz w:val="24"/>
          <w:szCs w:val="24"/>
          <w:lang w:val="en-GB"/>
        </w:rPr>
        <w:t>Clinical health psychology in medical settings: A practitioner's guidebook, Rev</w:t>
      </w:r>
      <w:r w:rsidRPr="00212FC7">
        <w:rPr>
          <w:rFonts w:ascii="Garamond" w:hAnsi="Garamond"/>
          <w:sz w:val="24"/>
          <w:szCs w:val="24"/>
          <w:lang w:val="en-GB"/>
        </w:rPr>
        <w:t>. American Psychological Association.</w:t>
      </w:r>
    </w:p>
    <w:p w14:paraId="6EC40CAC"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rPr>
        <w:t xml:space="preserve">Bocci, T., De Carolis, G., Ferrucci, R., Paroli, M., Mansani, F., Priori, A., ... </w:t>
      </w:r>
      <w:r w:rsidRPr="00212FC7">
        <w:rPr>
          <w:rFonts w:ascii="Garamond" w:hAnsi="Garamond"/>
          <w:sz w:val="24"/>
          <w:szCs w:val="24"/>
          <w:lang w:val="en-GB"/>
        </w:rPr>
        <w:t xml:space="preserve">&amp; Sartucci, F. (2019). Cerebellar Transcranial Direct Current Stimulation (ctDCS) ameliorates phantom limb pain and non-painful phantom limb sensations. </w:t>
      </w:r>
      <w:r w:rsidRPr="00212FC7">
        <w:rPr>
          <w:rFonts w:ascii="Garamond" w:hAnsi="Garamond"/>
          <w:sz w:val="24"/>
          <w:szCs w:val="24"/>
        </w:rPr>
        <w:t>The Cerebellum, 18(3), 527-535. Doi: 10.1007/s12311-019-01020-w.</w:t>
      </w:r>
    </w:p>
    <w:p w14:paraId="722704DD" w14:textId="77777777" w:rsidR="00212FC7" w:rsidRPr="00212FC7" w:rsidRDefault="00212FC7" w:rsidP="00212FC7">
      <w:pPr>
        <w:pStyle w:val="Paragrafoelenco"/>
        <w:numPr>
          <w:ilvl w:val="0"/>
          <w:numId w:val="2"/>
        </w:numPr>
        <w:ind w:left="284" w:hanging="284"/>
        <w:rPr>
          <w:rFonts w:ascii="Garamond" w:hAnsi="Garamond"/>
          <w:sz w:val="24"/>
          <w:szCs w:val="24"/>
        </w:rPr>
      </w:pPr>
      <w:bookmarkStart w:id="0" w:name="_Hlk47801990"/>
      <w:r w:rsidRPr="00212FC7">
        <w:rPr>
          <w:rFonts w:ascii="Garamond" w:hAnsi="Garamond"/>
          <w:sz w:val="24"/>
          <w:szCs w:val="24"/>
          <w:lang w:val="en-GB"/>
        </w:rPr>
        <w:t>Boller, F., &amp; Birnbaum</w:t>
      </w:r>
      <w:bookmarkEnd w:id="0"/>
      <w:r w:rsidRPr="00212FC7">
        <w:rPr>
          <w:rFonts w:ascii="Garamond" w:hAnsi="Garamond"/>
          <w:sz w:val="24"/>
          <w:szCs w:val="24"/>
          <w:lang w:val="en-GB"/>
        </w:rPr>
        <w:t xml:space="preserve">, D. (2016). Silas Weir Mitchell: Neurologists and Neurology during the American Civil War. </w:t>
      </w:r>
      <w:r w:rsidRPr="00212FC7">
        <w:rPr>
          <w:rFonts w:ascii="Garamond" w:hAnsi="Garamond"/>
          <w:sz w:val="24"/>
          <w:szCs w:val="24"/>
        </w:rPr>
        <w:t>In </w:t>
      </w:r>
      <w:r w:rsidRPr="00212FC7">
        <w:rPr>
          <w:rFonts w:ascii="Garamond" w:hAnsi="Garamond"/>
          <w:i/>
          <w:iCs/>
          <w:sz w:val="24"/>
          <w:szCs w:val="24"/>
        </w:rPr>
        <w:t>War Neurology</w:t>
      </w:r>
      <w:r w:rsidRPr="00212FC7">
        <w:rPr>
          <w:rFonts w:ascii="Garamond" w:hAnsi="Garamond"/>
          <w:sz w:val="24"/>
          <w:szCs w:val="24"/>
        </w:rPr>
        <w:t> (Vol. 38, pp. 93-106). Karger Publishers.</w:t>
      </w:r>
    </w:p>
    <w:p w14:paraId="5DF27F28"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rPr>
        <w:t xml:space="preserve">Bolognini, N., Spandri, V., Olgiati, E., Fregni, F., Ferraro, F., &amp; Maravita, A. (2013). </w:t>
      </w:r>
      <w:r w:rsidRPr="00212FC7">
        <w:rPr>
          <w:rFonts w:ascii="Garamond" w:hAnsi="Garamond"/>
          <w:sz w:val="24"/>
          <w:szCs w:val="24"/>
          <w:lang w:val="en-GB"/>
        </w:rPr>
        <w:t>Long-term analgesic effects of transcranial direct current stimulation of the motor cortex on phantom limb and stump pain: a case report. Journal of pain and symptom management, 46(4), e1-e4. Doi: 10.1016/j.jpainsymman.2013.06.014.</w:t>
      </w:r>
    </w:p>
    <w:p w14:paraId="3B04F886"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Brunton, S. (2017). I Have Never Liked the Term" Compliance". </w:t>
      </w:r>
      <w:r w:rsidRPr="00212FC7">
        <w:rPr>
          <w:rFonts w:ascii="Garamond" w:hAnsi="Garamond"/>
          <w:i/>
          <w:iCs/>
          <w:sz w:val="24"/>
          <w:szCs w:val="24"/>
          <w:lang w:val="en-GB"/>
        </w:rPr>
        <w:t>Clinical Diabetes: A Publication of the American Diabetes Association</w:t>
      </w:r>
      <w:r w:rsidRPr="00212FC7">
        <w:rPr>
          <w:rFonts w:ascii="Garamond" w:hAnsi="Garamond"/>
          <w:sz w:val="24"/>
          <w:szCs w:val="24"/>
          <w:lang w:val="en-GB"/>
        </w:rPr>
        <w:t>, </w:t>
      </w:r>
      <w:r w:rsidRPr="00212FC7">
        <w:rPr>
          <w:rFonts w:ascii="Garamond" w:hAnsi="Garamond"/>
          <w:i/>
          <w:iCs/>
          <w:sz w:val="24"/>
          <w:szCs w:val="24"/>
          <w:lang w:val="en-GB"/>
        </w:rPr>
        <w:t>35</w:t>
      </w:r>
      <w:r w:rsidRPr="00212FC7">
        <w:rPr>
          <w:rFonts w:ascii="Garamond" w:hAnsi="Garamond"/>
          <w:sz w:val="24"/>
          <w:szCs w:val="24"/>
          <w:lang w:val="en-GB"/>
        </w:rPr>
        <w:t>(2), 76-77.</w:t>
      </w:r>
      <w:r w:rsidRPr="00212FC7">
        <w:rPr>
          <w:rFonts w:ascii="Garamond" w:hAnsi="Garamond"/>
          <w:sz w:val="24"/>
          <w:szCs w:val="24"/>
          <w:lang w:val="en-GB"/>
        </w:rPr>
        <w:t xml:space="preserve"> </w:t>
      </w:r>
    </w:p>
    <w:p w14:paraId="48BF0219"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Caputo, A. (2013). Health demand in primary care context: What do people think about physicians?. </w:t>
      </w:r>
      <w:r w:rsidRPr="00212FC7">
        <w:rPr>
          <w:rFonts w:ascii="Garamond" w:hAnsi="Garamond"/>
          <w:i/>
          <w:iCs/>
          <w:sz w:val="24"/>
          <w:szCs w:val="24"/>
          <w:lang w:val="en-GB"/>
        </w:rPr>
        <w:t>Psychology, health &amp; medicine</w:t>
      </w:r>
      <w:r w:rsidRPr="00212FC7">
        <w:rPr>
          <w:rFonts w:ascii="Garamond" w:hAnsi="Garamond"/>
          <w:sz w:val="24"/>
          <w:szCs w:val="24"/>
          <w:lang w:val="en-GB"/>
        </w:rPr>
        <w:t>, </w:t>
      </w:r>
      <w:r w:rsidRPr="00212FC7">
        <w:rPr>
          <w:rFonts w:ascii="Garamond" w:hAnsi="Garamond"/>
          <w:i/>
          <w:iCs/>
          <w:sz w:val="24"/>
          <w:szCs w:val="24"/>
          <w:lang w:val="en-GB"/>
        </w:rPr>
        <w:t>18</w:t>
      </w:r>
      <w:r w:rsidRPr="00212FC7">
        <w:rPr>
          <w:rFonts w:ascii="Garamond" w:hAnsi="Garamond"/>
          <w:sz w:val="24"/>
          <w:szCs w:val="24"/>
          <w:lang w:val="en-GB"/>
        </w:rPr>
        <w:t>(2), 145-154.</w:t>
      </w:r>
    </w:p>
    <w:p w14:paraId="62C0559E"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Caputo, A., Fregonese, C., &amp; Langher, V. (2020</w:t>
      </w:r>
      <w:r w:rsidRPr="00212FC7">
        <w:rPr>
          <w:rFonts w:ascii="Garamond" w:hAnsi="Garamond"/>
          <w:sz w:val="24"/>
          <w:szCs w:val="24"/>
          <w:lang w:val="en-GB"/>
        </w:rPr>
        <w:t>a</w:t>
      </w:r>
      <w:r w:rsidRPr="00212FC7">
        <w:rPr>
          <w:rFonts w:ascii="Garamond" w:hAnsi="Garamond"/>
          <w:sz w:val="24"/>
          <w:szCs w:val="24"/>
          <w:lang w:val="en-GB"/>
        </w:rPr>
        <w:t>). Development and validation of the Dynamic Career Scale (DCS): A psychodynamic conceptualization of career adjustment. </w:t>
      </w:r>
      <w:r w:rsidRPr="00212FC7">
        <w:rPr>
          <w:rFonts w:ascii="Garamond" w:hAnsi="Garamond"/>
          <w:i/>
          <w:iCs/>
          <w:sz w:val="24"/>
          <w:szCs w:val="24"/>
          <w:lang w:val="en-GB"/>
        </w:rPr>
        <w:t>International Journal for Educational and Vocational Guidance</w:t>
      </w:r>
      <w:r w:rsidRPr="00212FC7">
        <w:rPr>
          <w:rFonts w:ascii="Garamond" w:hAnsi="Garamond"/>
          <w:sz w:val="24"/>
          <w:szCs w:val="24"/>
          <w:lang w:val="en-GB"/>
        </w:rPr>
        <w:t>, </w:t>
      </w:r>
      <w:r w:rsidRPr="00212FC7">
        <w:rPr>
          <w:rFonts w:ascii="Garamond" w:hAnsi="Garamond"/>
          <w:i/>
          <w:iCs/>
          <w:sz w:val="24"/>
          <w:szCs w:val="24"/>
          <w:lang w:val="en-GB"/>
        </w:rPr>
        <w:t>20</w:t>
      </w:r>
      <w:r w:rsidRPr="00212FC7">
        <w:rPr>
          <w:rFonts w:ascii="Garamond" w:hAnsi="Garamond"/>
          <w:sz w:val="24"/>
          <w:szCs w:val="24"/>
          <w:lang w:val="en-GB"/>
        </w:rPr>
        <w:t>(2), 263-292.</w:t>
      </w:r>
    </w:p>
    <w:p w14:paraId="07A174C1"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lang w:val="en-GB"/>
        </w:rPr>
        <w:t>Caputo, A., Fregonese, C., &amp; Langher, V. (2020</w:t>
      </w:r>
      <w:r w:rsidRPr="00212FC7">
        <w:rPr>
          <w:rFonts w:ascii="Garamond" w:hAnsi="Garamond"/>
          <w:sz w:val="24"/>
          <w:szCs w:val="24"/>
          <w:lang w:val="en-GB"/>
        </w:rPr>
        <w:t>b</w:t>
      </w:r>
      <w:r w:rsidRPr="00212FC7">
        <w:rPr>
          <w:rFonts w:ascii="Garamond" w:hAnsi="Garamond"/>
          <w:sz w:val="24"/>
          <w:szCs w:val="24"/>
          <w:lang w:val="en-GB"/>
        </w:rPr>
        <w:t>). The effectiveness of psychodynamic career counselling: a randomised control trial on the PICS programme. </w:t>
      </w:r>
      <w:r w:rsidRPr="00212FC7">
        <w:rPr>
          <w:rFonts w:ascii="Garamond" w:hAnsi="Garamond"/>
          <w:i/>
          <w:iCs/>
          <w:sz w:val="24"/>
          <w:szCs w:val="24"/>
        </w:rPr>
        <w:t>Psychodynamic Practice</w:t>
      </w:r>
      <w:r w:rsidRPr="00212FC7">
        <w:rPr>
          <w:rFonts w:ascii="Garamond" w:hAnsi="Garamond"/>
          <w:sz w:val="24"/>
          <w:szCs w:val="24"/>
        </w:rPr>
        <w:t>, </w:t>
      </w:r>
      <w:r w:rsidRPr="00212FC7">
        <w:rPr>
          <w:rFonts w:ascii="Garamond" w:hAnsi="Garamond"/>
          <w:i/>
          <w:iCs/>
          <w:sz w:val="24"/>
          <w:szCs w:val="24"/>
        </w:rPr>
        <w:t>26</w:t>
      </w:r>
      <w:r w:rsidRPr="00212FC7">
        <w:rPr>
          <w:rFonts w:ascii="Garamond" w:hAnsi="Garamond"/>
          <w:sz w:val="24"/>
          <w:szCs w:val="24"/>
        </w:rPr>
        <w:t>(2), 136-165.</w:t>
      </w:r>
    </w:p>
    <w:p w14:paraId="5808C83C"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Carrier, M., &amp; Mittelstrass, J. (2019). Mind, brain, behavior: The mind-body problem and the philosophy of psychology. Walter de Gruyter GmbH &amp; Co KG.</w:t>
      </w:r>
    </w:p>
    <w:p w14:paraId="63F68182"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lang w:val="en-GB"/>
        </w:rPr>
        <w:t>Damasio, A. R. (1995). Descartes' Error: Emotion, Reason and the Human Brain. </w:t>
      </w:r>
      <w:r w:rsidRPr="00212FC7">
        <w:rPr>
          <w:rFonts w:ascii="Garamond" w:hAnsi="Garamond"/>
          <w:i/>
          <w:iCs/>
          <w:sz w:val="24"/>
          <w:szCs w:val="24"/>
        </w:rPr>
        <w:t>BMJ</w:t>
      </w:r>
      <w:r w:rsidRPr="00212FC7">
        <w:rPr>
          <w:rFonts w:ascii="Garamond" w:hAnsi="Garamond"/>
          <w:sz w:val="24"/>
          <w:szCs w:val="24"/>
        </w:rPr>
        <w:t>, </w:t>
      </w:r>
      <w:r w:rsidRPr="00212FC7">
        <w:rPr>
          <w:rFonts w:ascii="Garamond" w:hAnsi="Garamond"/>
          <w:i/>
          <w:iCs/>
          <w:sz w:val="24"/>
          <w:szCs w:val="24"/>
        </w:rPr>
        <w:t>310</w:t>
      </w:r>
      <w:r w:rsidRPr="00212FC7">
        <w:rPr>
          <w:rFonts w:ascii="Garamond" w:hAnsi="Garamond"/>
          <w:sz w:val="24"/>
          <w:szCs w:val="24"/>
        </w:rPr>
        <w:t>, 1212.</w:t>
      </w:r>
    </w:p>
    <w:p w14:paraId="02D33EA8"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rPr>
        <w:t xml:space="preserve">Di Giuseppe, M., Ciacchini, R., Piarulli, A., Nepa, G., &amp; Conversano, C. (2019). </w:t>
      </w:r>
      <w:r w:rsidRPr="00212FC7">
        <w:rPr>
          <w:rFonts w:ascii="Garamond" w:hAnsi="Garamond"/>
          <w:sz w:val="24"/>
          <w:szCs w:val="24"/>
          <w:lang w:val="en-GB"/>
        </w:rPr>
        <w:t>Mindfulness dispositions and defense style as positive responses to psychological distress in oncology professionals. </w:t>
      </w:r>
      <w:r w:rsidRPr="00212FC7">
        <w:rPr>
          <w:rFonts w:ascii="Garamond" w:hAnsi="Garamond"/>
          <w:i/>
          <w:iCs/>
          <w:sz w:val="24"/>
          <w:szCs w:val="24"/>
        </w:rPr>
        <w:t>European Journal of Oncology Nursing</w:t>
      </w:r>
      <w:r w:rsidRPr="00212FC7">
        <w:rPr>
          <w:rFonts w:ascii="Garamond" w:hAnsi="Garamond"/>
          <w:sz w:val="24"/>
          <w:szCs w:val="24"/>
        </w:rPr>
        <w:t>, </w:t>
      </w:r>
      <w:r w:rsidRPr="00212FC7">
        <w:rPr>
          <w:rFonts w:ascii="Garamond" w:hAnsi="Garamond"/>
          <w:i/>
          <w:iCs/>
          <w:sz w:val="24"/>
          <w:szCs w:val="24"/>
        </w:rPr>
        <w:t>40</w:t>
      </w:r>
      <w:r w:rsidRPr="00212FC7">
        <w:rPr>
          <w:rFonts w:ascii="Garamond" w:hAnsi="Garamond"/>
          <w:sz w:val="24"/>
          <w:szCs w:val="24"/>
        </w:rPr>
        <w:t>, 104-110.</w:t>
      </w:r>
    </w:p>
    <w:p w14:paraId="7D17721E"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rPr>
        <w:t xml:space="preserve">Di Giuseppe, M., Miniati, M., Miccoli, M., Ciacchini, R., Orrù, G., Sterzo, R. L., ... </w:t>
      </w:r>
      <w:r w:rsidRPr="00212FC7">
        <w:rPr>
          <w:rFonts w:ascii="Garamond" w:hAnsi="Garamond"/>
          <w:sz w:val="24"/>
          <w:szCs w:val="24"/>
          <w:lang w:val="en-GB"/>
        </w:rPr>
        <w:t>&amp; Conversano, C. (2020). Defensive responses to stressful life events associated with cancer diagnosis. </w:t>
      </w:r>
      <w:r w:rsidRPr="00212FC7">
        <w:rPr>
          <w:rFonts w:ascii="Garamond" w:hAnsi="Garamond"/>
          <w:i/>
          <w:iCs/>
          <w:sz w:val="24"/>
          <w:szCs w:val="24"/>
        </w:rPr>
        <w:t>Mediterranean Journal of Clinical Psychology</w:t>
      </w:r>
      <w:r w:rsidRPr="00212FC7">
        <w:rPr>
          <w:rFonts w:ascii="Garamond" w:hAnsi="Garamond"/>
          <w:sz w:val="24"/>
          <w:szCs w:val="24"/>
        </w:rPr>
        <w:t>, </w:t>
      </w:r>
      <w:r w:rsidRPr="00212FC7">
        <w:rPr>
          <w:rFonts w:ascii="Garamond" w:hAnsi="Garamond"/>
          <w:i/>
          <w:iCs/>
          <w:sz w:val="24"/>
          <w:szCs w:val="24"/>
        </w:rPr>
        <w:t>8</w:t>
      </w:r>
      <w:r w:rsidRPr="00212FC7">
        <w:rPr>
          <w:rFonts w:ascii="Garamond" w:hAnsi="Garamond"/>
          <w:sz w:val="24"/>
          <w:szCs w:val="24"/>
        </w:rPr>
        <w:t>(1).</w:t>
      </w:r>
    </w:p>
    <w:p w14:paraId="0781E6DC"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Doan, L., Manders, T., &amp; Wang, J. (2015). Neuroplasticity underlying the comorbidity of pain and depression. </w:t>
      </w:r>
      <w:r w:rsidRPr="00212FC7">
        <w:rPr>
          <w:rFonts w:ascii="Garamond" w:hAnsi="Garamond"/>
          <w:i/>
          <w:iCs/>
          <w:sz w:val="24"/>
          <w:szCs w:val="24"/>
          <w:lang w:val="en-GB"/>
        </w:rPr>
        <w:t>Neural plasticity</w:t>
      </w:r>
      <w:r w:rsidRPr="00212FC7">
        <w:rPr>
          <w:rFonts w:ascii="Garamond" w:hAnsi="Garamond"/>
          <w:sz w:val="24"/>
          <w:szCs w:val="24"/>
          <w:lang w:val="en-GB"/>
        </w:rPr>
        <w:t>.</w:t>
      </w:r>
    </w:p>
    <w:p w14:paraId="1D823701"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rPr>
        <w:t xml:space="preserve">Fregonese, C., Caputo, A., &amp; Langher, V. (2018). </w:t>
      </w:r>
      <w:r w:rsidRPr="00212FC7">
        <w:rPr>
          <w:rFonts w:ascii="Garamond" w:hAnsi="Garamond"/>
          <w:sz w:val="24"/>
          <w:szCs w:val="24"/>
          <w:lang w:val="en-GB"/>
        </w:rPr>
        <w:t>Italian translation of the questionnaire for professional training evaluation. </w:t>
      </w:r>
      <w:r w:rsidRPr="00212FC7">
        <w:rPr>
          <w:rFonts w:ascii="Garamond" w:hAnsi="Garamond"/>
          <w:i/>
          <w:iCs/>
          <w:sz w:val="24"/>
          <w:szCs w:val="24"/>
          <w:lang w:val="en-GB"/>
        </w:rPr>
        <w:t>International Journal of Training and Development</w:t>
      </w:r>
      <w:r w:rsidRPr="00212FC7">
        <w:rPr>
          <w:rFonts w:ascii="Garamond" w:hAnsi="Garamond"/>
          <w:sz w:val="24"/>
          <w:szCs w:val="24"/>
          <w:lang w:val="en-GB"/>
        </w:rPr>
        <w:t>, </w:t>
      </w:r>
      <w:r w:rsidRPr="00212FC7">
        <w:rPr>
          <w:rFonts w:ascii="Garamond" w:hAnsi="Garamond"/>
          <w:i/>
          <w:iCs/>
          <w:sz w:val="24"/>
          <w:szCs w:val="24"/>
          <w:lang w:val="en-GB"/>
        </w:rPr>
        <w:t>22</w:t>
      </w:r>
      <w:r w:rsidRPr="00212FC7">
        <w:rPr>
          <w:rFonts w:ascii="Garamond" w:hAnsi="Garamond"/>
          <w:sz w:val="24"/>
          <w:szCs w:val="24"/>
          <w:lang w:val="en-GB"/>
        </w:rPr>
        <w:t>(1), 34-50.</w:t>
      </w:r>
    </w:p>
    <w:p w14:paraId="2784D3DE"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Frith, C., &amp; Gallagher, S. (2002). Models of the pathological mind. </w:t>
      </w:r>
      <w:r w:rsidRPr="00212FC7">
        <w:rPr>
          <w:rFonts w:ascii="Garamond" w:hAnsi="Garamond"/>
          <w:i/>
          <w:iCs/>
          <w:sz w:val="24"/>
          <w:szCs w:val="24"/>
          <w:lang w:val="en-GB"/>
        </w:rPr>
        <w:t>Journal of Consciousness Studies</w:t>
      </w:r>
      <w:r w:rsidRPr="00212FC7">
        <w:rPr>
          <w:rFonts w:ascii="Garamond" w:hAnsi="Garamond"/>
          <w:sz w:val="24"/>
          <w:szCs w:val="24"/>
          <w:lang w:val="en-GB"/>
        </w:rPr>
        <w:t>, </w:t>
      </w:r>
      <w:r w:rsidRPr="00212FC7">
        <w:rPr>
          <w:rFonts w:ascii="Garamond" w:hAnsi="Garamond"/>
          <w:i/>
          <w:iCs/>
          <w:sz w:val="24"/>
          <w:szCs w:val="24"/>
          <w:lang w:val="en-GB"/>
        </w:rPr>
        <w:t>9</w:t>
      </w:r>
      <w:r w:rsidRPr="00212FC7">
        <w:rPr>
          <w:rFonts w:ascii="Garamond" w:hAnsi="Garamond"/>
          <w:sz w:val="24"/>
          <w:szCs w:val="24"/>
          <w:lang w:val="en-GB"/>
        </w:rPr>
        <w:t>(4), 57-80.</w:t>
      </w:r>
    </w:p>
    <w:p w14:paraId="2DC0AF76"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lang w:val="en-GB"/>
        </w:rPr>
        <w:t xml:space="preserve">Fusco, L., Parola, A., &amp; Sica, L. S. (2019). From creativity to future: the role of career adaptability. </w:t>
      </w:r>
      <w:r w:rsidRPr="00212FC7">
        <w:rPr>
          <w:rFonts w:ascii="Garamond" w:hAnsi="Garamond"/>
          <w:sz w:val="24"/>
          <w:szCs w:val="24"/>
        </w:rPr>
        <w:t>In </w:t>
      </w:r>
      <w:r w:rsidRPr="00212FC7">
        <w:rPr>
          <w:rFonts w:ascii="Garamond" w:hAnsi="Garamond"/>
          <w:i/>
          <w:iCs/>
          <w:sz w:val="24"/>
          <w:szCs w:val="24"/>
        </w:rPr>
        <w:t>PSYCHOBIT</w:t>
      </w:r>
      <w:r w:rsidRPr="00212FC7">
        <w:rPr>
          <w:rFonts w:ascii="Garamond" w:hAnsi="Garamond"/>
          <w:sz w:val="24"/>
          <w:szCs w:val="24"/>
        </w:rPr>
        <w:t>.</w:t>
      </w:r>
      <w:r w:rsidRPr="00212FC7">
        <w:rPr>
          <w:rFonts w:ascii="Garamond" w:hAnsi="Garamond"/>
          <w:sz w:val="24"/>
          <w:szCs w:val="24"/>
        </w:rPr>
        <w:t xml:space="preserve"> </w:t>
      </w:r>
      <w:r w:rsidRPr="00212FC7">
        <w:rPr>
          <w:rFonts w:ascii="Garamond" w:hAnsi="Garamond"/>
          <w:sz w:val="24"/>
          <w:szCs w:val="24"/>
        </w:rPr>
        <w:t>2524</w:t>
      </w:r>
      <w:r w:rsidRPr="00212FC7">
        <w:rPr>
          <w:rFonts w:ascii="Garamond" w:hAnsi="Garamond"/>
          <w:sz w:val="24"/>
          <w:szCs w:val="24"/>
        </w:rPr>
        <w:t xml:space="preserve">. </w:t>
      </w:r>
    </w:p>
    <w:p w14:paraId="5418041A"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Gallagher, S. (1986). Body image and body schema: A conceptual clarification. </w:t>
      </w:r>
      <w:r w:rsidRPr="00212FC7">
        <w:rPr>
          <w:rFonts w:ascii="Garamond" w:hAnsi="Garamond"/>
          <w:i/>
          <w:iCs/>
          <w:sz w:val="24"/>
          <w:szCs w:val="24"/>
          <w:lang w:val="en-GB"/>
        </w:rPr>
        <w:t>The Journal of Mind and Behavior</w:t>
      </w:r>
      <w:r w:rsidRPr="00212FC7">
        <w:rPr>
          <w:rFonts w:ascii="Garamond" w:hAnsi="Garamond"/>
          <w:sz w:val="24"/>
          <w:szCs w:val="24"/>
          <w:lang w:val="en-GB"/>
        </w:rPr>
        <w:t>, 541-554.</w:t>
      </w:r>
    </w:p>
    <w:p w14:paraId="3862492A"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 xml:space="preserve">Hesse, S., Waldner, A., Mehrholz, J., Tomelleri, C., Pohl, M., &amp; Werner, C. (2011). Combined transcranial direct current stimulation and robot-assisted arm training in subacute stroke patients: an </w:t>
      </w:r>
      <w:r w:rsidRPr="00212FC7">
        <w:rPr>
          <w:rFonts w:ascii="Garamond" w:hAnsi="Garamond"/>
          <w:sz w:val="24"/>
          <w:szCs w:val="24"/>
          <w:lang w:val="en-GB"/>
        </w:rPr>
        <w:lastRenderedPageBreak/>
        <w:t>exploratory, randomized multicenter trial. Neurorehabilitation and neural repair, 25(9), 838-846. Doi: 10.1177/1545968311413906.</w:t>
      </w:r>
    </w:p>
    <w:p w14:paraId="2D9DA36E"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Hunter, C. M., Hunter, C. L., &amp; Kessler, R. (2014). </w:t>
      </w:r>
      <w:r w:rsidRPr="00212FC7">
        <w:rPr>
          <w:rFonts w:ascii="Garamond" w:hAnsi="Garamond"/>
          <w:i/>
          <w:iCs/>
          <w:sz w:val="24"/>
          <w:szCs w:val="24"/>
          <w:lang w:val="en-GB"/>
        </w:rPr>
        <w:t>Handbook of clinical psychology in medical settings</w:t>
      </w:r>
      <w:r w:rsidRPr="00212FC7">
        <w:rPr>
          <w:rFonts w:ascii="Garamond" w:hAnsi="Garamond"/>
          <w:sz w:val="24"/>
          <w:szCs w:val="24"/>
          <w:lang w:val="en-GB"/>
        </w:rPr>
        <w:t>. Springer.</w:t>
      </w:r>
    </w:p>
    <w:p w14:paraId="13937E44"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Hyphantis, T. N., Tomenson, B., Bai, M., Tsianos, E., Mavreas, V., &amp; Creed, F. (2010). Psychological distress, somatization, and defense mechanisms associated with quality of life in inflammatory bowel disease patients. </w:t>
      </w:r>
      <w:r w:rsidRPr="00212FC7">
        <w:rPr>
          <w:rFonts w:ascii="Garamond" w:hAnsi="Garamond"/>
          <w:i/>
          <w:iCs/>
          <w:sz w:val="24"/>
          <w:szCs w:val="24"/>
        </w:rPr>
        <w:t>Digestive diseases and sciences</w:t>
      </w:r>
      <w:r w:rsidRPr="00212FC7">
        <w:rPr>
          <w:rFonts w:ascii="Garamond" w:hAnsi="Garamond"/>
          <w:sz w:val="24"/>
          <w:szCs w:val="24"/>
        </w:rPr>
        <w:t>, </w:t>
      </w:r>
      <w:r w:rsidRPr="00212FC7">
        <w:rPr>
          <w:rFonts w:ascii="Garamond" w:hAnsi="Garamond"/>
          <w:i/>
          <w:iCs/>
          <w:sz w:val="24"/>
          <w:szCs w:val="24"/>
        </w:rPr>
        <w:t>55</w:t>
      </w:r>
      <w:r w:rsidRPr="00212FC7">
        <w:rPr>
          <w:rFonts w:ascii="Garamond" w:hAnsi="Garamond"/>
          <w:sz w:val="24"/>
          <w:szCs w:val="24"/>
        </w:rPr>
        <w:t>(3), 724-732.</w:t>
      </w:r>
    </w:p>
    <w:p w14:paraId="1C5FBF3C"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rPr>
        <w:t xml:space="preserve">Martino, G., Langher, V., Cazzato, V., &amp; Vicario, C. M. (2019). </w:t>
      </w:r>
      <w:r w:rsidRPr="00212FC7">
        <w:rPr>
          <w:rFonts w:ascii="Garamond" w:hAnsi="Garamond"/>
          <w:sz w:val="24"/>
          <w:szCs w:val="24"/>
          <w:lang w:val="en-GB"/>
        </w:rPr>
        <w:t>Psychological factors as determinants of medical conditions. </w:t>
      </w:r>
      <w:r w:rsidRPr="00212FC7">
        <w:rPr>
          <w:rFonts w:ascii="Garamond" w:hAnsi="Garamond"/>
          <w:i/>
          <w:iCs/>
          <w:sz w:val="24"/>
          <w:szCs w:val="24"/>
        </w:rPr>
        <w:t>Frontiers in psychology</w:t>
      </w:r>
      <w:r w:rsidRPr="00212FC7">
        <w:rPr>
          <w:rFonts w:ascii="Garamond" w:hAnsi="Garamond"/>
          <w:sz w:val="24"/>
          <w:szCs w:val="24"/>
        </w:rPr>
        <w:t>, </w:t>
      </w:r>
      <w:r w:rsidRPr="00212FC7">
        <w:rPr>
          <w:rFonts w:ascii="Garamond" w:hAnsi="Garamond"/>
          <w:i/>
          <w:iCs/>
          <w:sz w:val="24"/>
          <w:szCs w:val="24"/>
        </w:rPr>
        <w:t>10</w:t>
      </w:r>
      <w:r w:rsidRPr="00212FC7">
        <w:rPr>
          <w:rFonts w:ascii="Garamond" w:hAnsi="Garamond"/>
          <w:sz w:val="24"/>
          <w:szCs w:val="24"/>
        </w:rPr>
        <w:t>, 2502.</w:t>
      </w:r>
    </w:p>
    <w:p w14:paraId="2038340B"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Merlo, E. M. (2019). Opinion Article: The role of psychological features in chronic diseases, advancements and perspectives. </w:t>
      </w:r>
      <w:r w:rsidRPr="00212FC7">
        <w:rPr>
          <w:rFonts w:ascii="Garamond" w:hAnsi="Garamond"/>
          <w:i/>
          <w:iCs/>
          <w:sz w:val="24"/>
          <w:szCs w:val="24"/>
          <w:lang w:val="en-GB"/>
        </w:rPr>
        <w:t>Mediterranean Journal of Clinical Psychology</w:t>
      </w:r>
      <w:r w:rsidRPr="00212FC7">
        <w:rPr>
          <w:rFonts w:ascii="Garamond" w:hAnsi="Garamond"/>
          <w:sz w:val="24"/>
          <w:szCs w:val="24"/>
          <w:lang w:val="en-GB"/>
        </w:rPr>
        <w:t>, </w:t>
      </w:r>
      <w:r w:rsidRPr="00212FC7">
        <w:rPr>
          <w:rFonts w:ascii="Garamond" w:hAnsi="Garamond"/>
          <w:i/>
          <w:iCs/>
          <w:sz w:val="24"/>
          <w:szCs w:val="24"/>
          <w:lang w:val="en-GB"/>
        </w:rPr>
        <w:t>7</w:t>
      </w:r>
      <w:r w:rsidRPr="00212FC7">
        <w:rPr>
          <w:rFonts w:ascii="Garamond" w:hAnsi="Garamond"/>
          <w:sz w:val="24"/>
          <w:szCs w:val="24"/>
          <w:lang w:val="en-GB"/>
        </w:rPr>
        <w:t>(3).</w:t>
      </w:r>
    </w:p>
    <w:p w14:paraId="27315C45"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lang w:val="en-GB"/>
        </w:rPr>
        <w:t>Motofei, I. G., &amp; Rowland, D. L. (2015). Solving the mind-body problem through two distinct concepts: internal-mental existence and internal mental reality. </w:t>
      </w:r>
      <w:r w:rsidRPr="00212FC7">
        <w:rPr>
          <w:rFonts w:ascii="Garamond" w:hAnsi="Garamond"/>
          <w:i/>
          <w:iCs/>
          <w:sz w:val="24"/>
          <w:szCs w:val="24"/>
        </w:rPr>
        <w:t>Journal of Mind and Medical Sciences</w:t>
      </w:r>
      <w:r w:rsidRPr="00212FC7">
        <w:rPr>
          <w:rFonts w:ascii="Garamond" w:hAnsi="Garamond"/>
          <w:sz w:val="24"/>
          <w:szCs w:val="24"/>
        </w:rPr>
        <w:t>, </w:t>
      </w:r>
      <w:r w:rsidRPr="00212FC7">
        <w:rPr>
          <w:rFonts w:ascii="Garamond" w:hAnsi="Garamond"/>
          <w:i/>
          <w:iCs/>
          <w:sz w:val="24"/>
          <w:szCs w:val="24"/>
        </w:rPr>
        <w:t>2</w:t>
      </w:r>
      <w:r w:rsidRPr="00212FC7">
        <w:rPr>
          <w:rFonts w:ascii="Garamond" w:hAnsi="Garamond"/>
          <w:sz w:val="24"/>
          <w:szCs w:val="24"/>
        </w:rPr>
        <w:t>(2), 128-141.</w:t>
      </w:r>
    </w:p>
    <w:p w14:paraId="2BAD877A"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lang w:val="en-GB"/>
        </w:rPr>
        <w:t>Motofei, I. G., &amp; Rowland, D. L. (2016). The mind body problem, part three: ascension of sexual function to cerebral level. </w:t>
      </w:r>
      <w:r w:rsidRPr="00212FC7">
        <w:rPr>
          <w:rFonts w:ascii="Garamond" w:hAnsi="Garamond"/>
          <w:i/>
          <w:iCs/>
          <w:sz w:val="24"/>
          <w:szCs w:val="24"/>
        </w:rPr>
        <w:t>Journal of Mind and Medical Sciences</w:t>
      </w:r>
      <w:r w:rsidRPr="00212FC7">
        <w:rPr>
          <w:rFonts w:ascii="Garamond" w:hAnsi="Garamond"/>
          <w:sz w:val="24"/>
          <w:szCs w:val="24"/>
        </w:rPr>
        <w:t>, </w:t>
      </w:r>
      <w:r w:rsidRPr="00212FC7">
        <w:rPr>
          <w:rFonts w:ascii="Garamond" w:hAnsi="Garamond"/>
          <w:i/>
          <w:iCs/>
          <w:sz w:val="24"/>
          <w:szCs w:val="24"/>
        </w:rPr>
        <w:t>3</w:t>
      </w:r>
      <w:r w:rsidRPr="00212FC7">
        <w:rPr>
          <w:rFonts w:ascii="Garamond" w:hAnsi="Garamond"/>
          <w:sz w:val="24"/>
          <w:szCs w:val="24"/>
        </w:rPr>
        <w:t>(1), 1-12.</w:t>
      </w:r>
    </w:p>
    <w:p w14:paraId="3B3326F1"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lang w:val="en-GB"/>
        </w:rPr>
        <w:t>Motofei, I. G., &amp; Rowland, D. L. (2018). The mind-body problem; three equations and one solution represented by immaterial-material data. </w:t>
      </w:r>
      <w:r w:rsidRPr="00212FC7">
        <w:rPr>
          <w:rFonts w:ascii="Garamond" w:hAnsi="Garamond"/>
          <w:i/>
          <w:iCs/>
          <w:sz w:val="24"/>
          <w:szCs w:val="24"/>
        </w:rPr>
        <w:t>Journal of Mind and Medical Sciences</w:t>
      </w:r>
      <w:r w:rsidRPr="00212FC7">
        <w:rPr>
          <w:rFonts w:ascii="Garamond" w:hAnsi="Garamond"/>
          <w:sz w:val="24"/>
          <w:szCs w:val="24"/>
        </w:rPr>
        <w:t>, </w:t>
      </w:r>
      <w:r w:rsidRPr="00212FC7">
        <w:rPr>
          <w:rFonts w:ascii="Garamond" w:hAnsi="Garamond"/>
          <w:i/>
          <w:iCs/>
          <w:sz w:val="24"/>
          <w:szCs w:val="24"/>
        </w:rPr>
        <w:t>5</w:t>
      </w:r>
      <w:r w:rsidRPr="00212FC7">
        <w:rPr>
          <w:rFonts w:ascii="Garamond" w:hAnsi="Garamond"/>
          <w:sz w:val="24"/>
          <w:szCs w:val="24"/>
        </w:rPr>
        <w:t>(1), 59-69.</w:t>
      </w:r>
    </w:p>
    <w:p w14:paraId="3469BA4D"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rPr>
        <w:t xml:space="preserve">Orru, G., Baroni, M., Cesari, V., Conversano, C., Hitchcott, P. K., &amp; Gemignani, A. (2019). </w:t>
      </w:r>
      <w:r w:rsidRPr="00212FC7">
        <w:rPr>
          <w:rFonts w:ascii="Garamond" w:hAnsi="Garamond"/>
          <w:sz w:val="24"/>
          <w:szCs w:val="24"/>
          <w:lang w:val="en-GB"/>
        </w:rPr>
        <w:t xml:space="preserve">The effect of single and repeated tDCS sessions on motor symptoms in Parkinson's disease: a systematic review. </w:t>
      </w:r>
      <w:r w:rsidRPr="00212FC7">
        <w:rPr>
          <w:rFonts w:ascii="Garamond" w:hAnsi="Garamond"/>
          <w:i/>
          <w:iCs/>
          <w:sz w:val="24"/>
          <w:szCs w:val="24"/>
        </w:rPr>
        <w:t>Archives italiennes de biologie, 157</w:t>
      </w:r>
      <w:r w:rsidRPr="00212FC7">
        <w:rPr>
          <w:rFonts w:ascii="Garamond" w:hAnsi="Garamond"/>
          <w:sz w:val="24"/>
          <w:szCs w:val="24"/>
        </w:rPr>
        <w:t>(2-3), 89. Doi: 10.12871/00039829201925.</w:t>
      </w:r>
    </w:p>
    <w:p w14:paraId="571CF224"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rPr>
        <w:t xml:space="preserve">Orrù, G., Cesari, V., Baroni, M., Conversano, C., Ciacchini, R., Menicucci, D., &amp; Gemignani, A. (2020). </w:t>
      </w:r>
      <w:r w:rsidRPr="00212FC7">
        <w:rPr>
          <w:rFonts w:ascii="Garamond" w:hAnsi="Garamond"/>
          <w:sz w:val="24"/>
          <w:szCs w:val="24"/>
          <w:lang w:val="en-GB"/>
        </w:rPr>
        <w:t>Letter to the Editor: the application of transcranial direct current stimulation on phantom phenomena. </w:t>
      </w:r>
      <w:r w:rsidRPr="00212FC7">
        <w:rPr>
          <w:rFonts w:ascii="Garamond" w:hAnsi="Garamond"/>
          <w:i/>
          <w:iCs/>
          <w:sz w:val="24"/>
          <w:szCs w:val="24"/>
          <w:lang w:val="en-GB"/>
        </w:rPr>
        <w:t>Mediterranean Journal of Clinical Psychology</w:t>
      </w:r>
      <w:r w:rsidRPr="00212FC7">
        <w:rPr>
          <w:rFonts w:ascii="Garamond" w:hAnsi="Garamond"/>
          <w:sz w:val="24"/>
          <w:szCs w:val="24"/>
          <w:lang w:val="en-GB"/>
        </w:rPr>
        <w:t>, </w:t>
      </w:r>
      <w:r w:rsidRPr="00212FC7">
        <w:rPr>
          <w:rFonts w:ascii="Garamond" w:hAnsi="Garamond"/>
          <w:i/>
          <w:iCs/>
          <w:sz w:val="24"/>
          <w:szCs w:val="24"/>
          <w:lang w:val="en-GB"/>
        </w:rPr>
        <w:t>8</w:t>
      </w:r>
      <w:r w:rsidRPr="00212FC7">
        <w:rPr>
          <w:rFonts w:ascii="Garamond" w:hAnsi="Garamond"/>
          <w:sz w:val="24"/>
          <w:szCs w:val="24"/>
          <w:lang w:val="en-GB"/>
        </w:rPr>
        <w:t>(1).</w:t>
      </w:r>
    </w:p>
    <w:p w14:paraId="0C822493"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 xml:space="preserve">Orrù, G., Conversano, C., Hitchcott, P. K., &amp; Gemignani, A. (2020). Motor stroke recovery after tDCS: a systematic review. </w:t>
      </w:r>
      <w:r w:rsidRPr="00212FC7">
        <w:rPr>
          <w:rFonts w:ascii="Garamond" w:hAnsi="Garamond"/>
          <w:i/>
          <w:iCs/>
          <w:sz w:val="24"/>
          <w:szCs w:val="24"/>
          <w:lang w:val="en-GB"/>
        </w:rPr>
        <w:t>Reviews in the Neurosciences, 31</w:t>
      </w:r>
      <w:r w:rsidRPr="00212FC7">
        <w:rPr>
          <w:rFonts w:ascii="Garamond" w:hAnsi="Garamond"/>
          <w:sz w:val="24"/>
          <w:szCs w:val="24"/>
          <w:lang w:val="en-GB"/>
        </w:rPr>
        <w:t>(2), 201-218. Doi: https://doi.org/10.1515/revneuro-2019- 0047.</w:t>
      </w:r>
    </w:p>
    <w:p w14:paraId="77C1D88A" w14:textId="77777777" w:rsidR="00212FC7" w:rsidRPr="00212FC7" w:rsidRDefault="00212FC7" w:rsidP="00212FC7">
      <w:pPr>
        <w:pStyle w:val="Paragrafoelenco"/>
        <w:numPr>
          <w:ilvl w:val="0"/>
          <w:numId w:val="2"/>
        </w:numPr>
        <w:ind w:left="284" w:hanging="284"/>
        <w:rPr>
          <w:rFonts w:ascii="Garamond" w:hAnsi="Garamond"/>
          <w:sz w:val="24"/>
          <w:szCs w:val="24"/>
          <w:lang w:val="en-GB"/>
        </w:rPr>
      </w:pPr>
      <w:bookmarkStart w:id="1" w:name="_Hlk47801405"/>
      <w:r w:rsidRPr="00212FC7">
        <w:rPr>
          <w:rFonts w:ascii="Garamond" w:hAnsi="Garamond"/>
          <w:sz w:val="24"/>
          <w:szCs w:val="24"/>
          <w:lang w:val="en-GB"/>
        </w:rPr>
        <w:t>Pan</w:t>
      </w:r>
      <w:bookmarkEnd w:id="1"/>
      <w:r w:rsidRPr="00212FC7">
        <w:rPr>
          <w:rFonts w:ascii="Garamond" w:hAnsi="Garamond"/>
          <w:sz w:val="24"/>
          <w:szCs w:val="24"/>
          <w:lang w:val="en-GB"/>
        </w:rPr>
        <w:t>, L., Zhang, D., Sheng, X., &amp; Zhu, X. (2015). Improving myoelectric control for amputees through transcranial direct current stimulation. IEEE Transactions on Biomedical Engineering, 62(8), 1927-1936. Doi: 10.1109/TBME.2015.2407491.</w:t>
      </w:r>
    </w:p>
    <w:p w14:paraId="629D2EBA"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Parola, A., &amp; Donsì, L. (2019). Time Perspective and Employment Status: NEET Categories as Negative Predictor of Future. </w:t>
      </w:r>
      <w:r w:rsidRPr="00212FC7">
        <w:rPr>
          <w:rFonts w:ascii="Garamond" w:hAnsi="Garamond"/>
          <w:i/>
          <w:iCs/>
          <w:sz w:val="24"/>
          <w:szCs w:val="24"/>
          <w:lang w:val="en-GB"/>
        </w:rPr>
        <w:t>Mediterranean Journal of Clinical Psychology</w:t>
      </w:r>
      <w:r w:rsidRPr="00212FC7">
        <w:rPr>
          <w:rFonts w:ascii="Garamond" w:hAnsi="Garamond"/>
          <w:sz w:val="24"/>
          <w:szCs w:val="24"/>
          <w:lang w:val="en-GB"/>
        </w:rPr>
        <w:t>, </w:t>
      </w:r>
      <w:r w:rsidRPr="00212FC7">
        <w:rPr>
          <w:rFonts w:ascii="Garamond" w:hAnsi="Garamond"/>
          <w:i/>
          <w:iCs/>
          <w:sz w:val="24"/>
          <w:szCs w:val="24"/>
          <w:lang w:val="en-GB"/>
        </w:rPr>
        <w:t>7</w:t>
      </w:r>
      <w:r w:rsidRPr="00212FC7">
        <w:rPr>
          <w:rFonts w:ascii="Garamond" w:hAnsi="Garamond"/>
          <w:sz w:val="24"/>
          <w:szCs w:val="24"/>
          <w:lang w:val="en-GB"/>
        </w:rPr>
        <w:t>(3).</w:t>
      </w:r>
    </w:p>
    <w:p w14:paraId="43167481"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lang w:val="en-GB"/>
        </w:rPr>
        <w:t>Peh, W. C., &amp; Ng, K. H. (2010). Writing a letter to the Editor. </w:t>
      </w:r>
      <w:r w:rsidRPr="00212FC7">
        <w:rPr>
          <w:rFonts w:ascii="Garamond" w:hAnsi="Garamond"/>
          <w:i/>
          <w:iCs/>
          <w:sz w:val="24"/>
          <w:szCs w:val="24"/>
        </w:rPr>
        <w:t>Singapore Med J</w:t>
      </w:r>
      <w:r w:rsidRPr="00212FC7">
        <w:rPr>
          <w:rFonts w:ascii="Garamond" w:hAnsi="Garamond"/>
          <w:sz w:val="24"/>
          <w:szCs w:val="24"/>
        </w:rPr>
        <w:t>, </w:t>
      </w:r>
      <w:r w:rsidRPr="00212FC7">
        <w:rPr>
          <w:rFonts w:ascii="Garamond" w:hAnsi="Garamond"/>
          <w:i/>
          <w:iCs/>
          <w:sz w:val="24"/>
          <w:szCs w:val="24"/>
        </w:rPr>
        <w:t>51</w:t>
      </w:r>
      <w:r w:rsidRPr="00212FC7">
        <w:rPr>
          <w:rFonts w:ascii="Garamond" w:hAnsi="Garamond"/>
          <w:sz w:val="24"/>
          <w:szCs w:val="24"/>
        </w:rPr>
        <w:t>(7), 532-5.</w:t>
      </w:r>
    </w:p>
    <w:p w14:paraId="4F805806"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Röhricht, F., Gallagher, S., Geuter, U., &amp; Hutto, D. D. (2014). Embodied cognition and body psychotherapy: The construction of new therapeutic environments. </w:t>
      </w:r>
      <w:r w:rsidRPr="00212FC7">
        <w:rPr>
          <w:rFonts w:ascii="Garamond" w:hAnsi="Garamond"/>
          <w:i/>
          <w:iCs/>
          <w:sz w:val="24"/>
          <w:szCs w:val="24"/>
          <w:lang w:val="en-GB"/>
        </w:rPr>
        <w:t>Sensoria: A Journal of Mind, Brain &amp; Culture</w:t>
      </w:r>
      <w:r w:rsidRPr="00212FC7">
        <w:rPr>
          <w:rFonts w:ascii="Garamond" w:hAnsi="Garamond"/>
          <w:sz w:val="24"/>
          <w:szCs w:val="24"/>
          <w:lang w:val="en-GB"/>
        </w:rPr>
        <w:t>, </w:t>
      </w:r>
      <w:r w:rsidRPr="00212FC7">
        <w:rPr>
          <w:rFonts w:ascii="Garamond" w:hAnsi="Garamond"/>
          <w:i/>
          <w:iCs/>
          <w:sz w:val="24"/>
          <w:szCs w:val="24"/>
          <w:lang w:val="en-GB"/>
        </w:rPr>
        <w:t>10</w:t>
      </w:r>
      <w:r w:rsidRPr="00212FC7">
        <w:rPr>
          <w:rFonts w:ascii="Garamond" w:hAnsi="Garamond"/>
          <w:sz w:val="24"/>
          <w:szCs w:val="24"/>
          <w:lang w:val="en-GB"/>
        </w:rPr>
        <w:t>(1).</w:t>
      </w:r>
    </w:p>
    <w:p w14:paraId="09BDABE2"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Rozensky, R. H. (1994). Clinical psychology in medical settings: Psychology's role in health care. </w:t>
      </w:r>
      <w:r w:rsidRPr="00212FC7">
        <w:rPr>
          <w:rFonts w:ascii="Garamond" w:hAnsi="Garamond"/>
          <w:i/>
          <w:iCs/>
          <w:sz w:val="24"/>
          <w:szCs w:val="24"/>
          <w:lang w:val="en-GB"/>
        </w:rPr>
        <w:t>Journal of Clinical Psychology in Medical Settings</w:t>
      </w:r>
      <w:r w:rsidRPr="00212FC7">
        <w:rPr>
          <w:rFonts w:ascii="Garamond" w:hAnsi="Garamond"/>
          <w:sz w:val="24"/>
          <w:szCs w:val="24"/>
          <w:lang w:val="en-GB"/>
        </w:rPr>
        <w:t>, </w:t>
      </w:r>
      <w:r w:rsidRPr="00212FC7">
        <w:rPr>
          <w:rFonts w:ascii="Garamond" w:hAnsi="Garamond"/>
          <w:i/>
          <w:iCs/>
          <w:sz w:val="24"/>
          <w:szCs w:val="24"/>
          <w:lang w:val="en-GB"/>
        </w:rPr>
        <w:t>1</w:t>
      </w:r>
      <w:r w:rsidRPr="00212FC7">
        <w:rPr>
          <w:rFonts w:ascii="Garamond" w:hAnsi="Garamond"/>
          <w:sz w:val="24"/>
          <w:szCs w:val="24"/>
          <w:lang w:val="en-GB"/>
        </w:rPr>
        <w:t>(1), 1-5.</w:t>
      </w:r>
    </w:p>
    <w:p w14:paraId="4C77BE70"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Rozensky, R. H., Sweet, J. J., &amp; Tovian, S. M. (Eds.). (2013). </w:t>
      </w:r>
      <w:r w:rsidRPr="00212FC7">
        <w:rPr>
          <w:rFonts w:ascii="Garamond" w:hAnsi="Garamond"/>
          <w:i/>
          <w:iCs/>
          <w:sz w:val="24"/>
          <w:szCs w:val="24"/>
          <w:lang w:val="en-GB"/>
        </w:rPr>
        <w:t>Handbook of clinical psychology in medical settings</w:t>
      </w:r>
      <w:r w:rsidRPr="00212FC7">
        <w:rPr>
          <w:rFonts w:ascii="Garamond" w:hAnsi="Garamond"/>
          <w:sz w:val="24"/>
          <w:szCs w:val="24"/>
          <w:lang w:val="en-GB"/>
        </w:rPr>
        <w:t>. Springer Science &amp; Business Media.</w:t>
      </w:r>
    </w:p>
    <w:p w14:paraId="28D1B784"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lang w:val="en-GB"/>
        </w:rPr>
        <w:t xml:space="preserve">Sattler, V., Acket, B., Raposo, N., Albucher, J. F., Thalamas, C., Loubinoux, I., ... &amp; Simonetta-Moreau, M. (2015). Anodal tDCS combined with radial nerve stimulation promotes hand motor recovery in the acute phase after ischemic stroke. </w:t>
      </w:r>
      <w:r w:rsidRPr="00212FC7">
        <w:rPr>
          <w:rFonts w:ascii="Garamond" w:hAnsi="Garamond"/>
          <w:sz w:val="24"/>
          <w:szCs w:val="24"/>
        </w:rPr>
        <w:t>Neurorehabilitation and neural repair, 29(8), 743-754. Doi: 10.1177/1545968314565465.</w:t>
      </w:r>
    </w:p>
    <w:p w14:paraId="1079FADA"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rPr>
        <w:t xml:space="preserve">Settineri, S., Frisone, F., Alibrandi, A., Pino, G., Lupo, N. J., &amp; Merlo, E. M. (2018). </w:t>
      </w:r>
      <w:r w:rsidRPr="00212FC7">
        <w:rPr>
          <w:rFonts w:ascii="Garamond" w:hAnsi="Garamond"/>
          <w:sz w:val="24"/>
          <w:szCs w:val="24"/>
          <w:lang w:val="en-GB"/>
        </w:rPr>
        <w:t>Psychological Types and Learning Styles. </w:t>
      </w:r>
      <w:r w:rsidRPr="00212FC7">
        <w:rPr>
          <w:rFonts w:ascii="Garamond" w:hAnsi="Garamond"/>
          <w:i/>
          <w:iCs/>
          <w:sz w:val="24"/>
          <w:szCs w:val="24"/>
          <w:lang w:val="en-GB"/>
        </w:rPr>
        <w:t>Mediterranean Journal of Clinical Psychology</w:t>
      </w:r>
      <w:r w:rsidRPr="00212FC7">
        <w:rPr>
          <w:rFonts w:ascii="Garamond" w:hAnsi="Garamond"/>
          <w:sz w:val="24"/>
          <w:szCs w:val="24"/>
          <w:lang w:val="en-GB"/>
        </w:rPr>
        <w:t>, </w:t>
      </w:r>
      <w:r w:rsidRPr="00212FC7">
        <w:rPr>
          <w:rFonts w:ascii="Garamond" w:hAnsi="Garamond"/>
          <w:i/>
          <w:iCs/>
          <w:sz w:val="24"/>
          <w:szCs w:val="24"/>
          <w:lang w:val="en-GB"/>
        </w:rPr>
        <w:t>6</w:t>
      </w:r>
      <w:r w:rsidRPr="00212FC7">
        <w:rPr>
          <w:rFonts w:ascii="Garamond" w:hAnsi="Garamond"/>
          <w:sz w:val="24"/>
          <w:szCs w:val="24"/>
          <w:lang w:val="en-GB"/>
        </w:rPr>
        <w:t>(3).</w:t>
      </w:r>
    </w:p>
    <w:p w14:paraId="32994401"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rPr>
        <w:lastRenderedPageBreak/>
        <w:t xml:space="preserve">Settineri, S., Frisone, F., Merlo, E. M., Geraci, D., &amp; Martino, G. (2019). </w:t>
      </w:r>
      <w:r w:rsidRPr="00212FC7">
        <w:rPr>
          <w:rFonts w:ascii="Garamond" w:hAnsi="Garamond"/>
          <w:sz w:val="24"/>
          <w:szCs w:val="24"/>
          <w:lang w:val="en-GB"/>
        </w:rPr>
        <w:t>Compliance, adherence, concordance, empowerment, and self-management: five words to manifest a relational maladjustment in diabetes. </w:t>
      </w:r>
      <w:r w:rsidRPr="00212FC7">
        <w:rPr>
          <w:rFonts w:ascii="Garamond" w:hAnsi="Garamond"/>
          <w:i/>
          <w:iCs/>
          <w:sz w:val="24"/>
          <w:szCs w:val="24"/>
        </w:rPr>
        <w:t>Journal of multidisciplinary healthcare</w:t>
      </w:r>
      <w:r w:rsidRPr="00212FC7">
        <w:rPr>
          <w:rFonts w:ascii="Garamond" w:hAnsi="Garamond"/>
          <w:sz w:val="24"/>
          <w:szCs w:val="24"/>
        </w:rPr>
        <w:t>, </w:t>
      </w:r>
      <w:r w:rsidRPr="00212FC7">
        <w:rPr>
          <w:rFonts w:ascii="Garamond" w:hAnsi="Garamond"/>
          <w:i/>
          <w:iCs/>
          <w:sz w:val="24"/>
          <w:szCs w:val="24"/>
        </w:rPr>
        <w:t>12</w:t>
      </w:r>
      <w:r w:rsidRPr="00212FC7">
        <w:rPr>
          <w:rFonts w:ascii="Garamond" w:hAnsi="Garamond"/>
          <w:sz w:val="24"/>
          <w:szCs w:val="24"/>
        </w:rPr>
        <w:t>, 299.</w:t>
      </w:r>
    </w:p>
    <w:p w14:paraId="3CD2A6CA"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rPr>
        <w:t xml:space="preserve">Settineri, S., Merlo, E.M. (2019). </w:t>
      </w:r>
      <w:r w:rsidRPr="00212FC7">
        <w:rPr>
          <w:rFonts w:ascii="Garamond" w:hAnsi="Garamond"/>
          <w:sz w:val="24"/>
          <w:szCs w:val="24"/>
          <w:lang w:val="en-GB"/>
        </w:rPr>
        <w:t xml:space="preserve">MJCP and Clinical Psychology. Mediterranean Journal of Clinical Psychology, 7(3). </w:t>
      </w:r>
      <w:r w:rsidRPr="00212FC7">
        <w:rPr>
          <w:rFonts w:ascii="Garamond" w:hAnsi="Garamond"/>
          <w:sz w:val="24"/>
          <w:szCs w:val="24"/>
        </w:rPr>
        <w:t>Doi: 10.6092/2282-1619/2019.7.2346.</w:t>
      </w:r>
    </w:p>
    <w:p w14:paraId="785577B5"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Sweet, J. J., Rozensky, R. H., &amp; Tovian, S. M. (1991). Clinical psychology in medical settings. In </w:t>
      </w:r>
      <w:r w:rsidRPr="00212FC7">
        <w:rPr>
          <w:rFonts w:ascii="Garamond" w:hAnsi="Garamond"/>
          <w:i/>
          <w:iCs/>
          <w:sz w:val="24"/>
          <w:szCs w:val="24"/>
          <w:lang w:val="en-GB"/>
        </w:rPr>
        <w:t>Handbook of clinical psychology in medical settings</w:t>
      </w:r>
      <w:r w:rsidRPr="00212FC7">
        <w:rPr>
          <w:rFonts w:ascii="Garamond" w:hAnsi="Garamond"/>
          <w:sz w:val="24"/>
          <w:szCs w:val="24"/>
          <w:lang w:val="en-GB"/>
        </w:rPr>
        <w:t> (pp. 3-9). Springer, Boston, MA.</w:t>
      </w:r>
    </w:p>
    <w:p w14:paraId="01DE6347"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Tilson, H. H. (2004). Adherence or compliance? Changes in terminology. </w:t>
      </w:r>
      <w:r w:rsidRPr="00212FC7">
        <w:rPr>
          <w:rFonts w:ascii="Garamond" w:hAnsi="Garamond"/>
          <w:i/>
          <w:iCs/>
          <w:sz w:val="24"/>
          <w:szCs w:val="24"/>
          <w:lang w:val="en-GB"/>
        </w:rPr>
        <w:t>Annals of Pharmacotherapy</w:t>
      </w:r>
      <w:r w:rsidRPr="00212FC7">
        <w:rPr>
          <w:rFonts w:ascii="Garamond" w:hAnsi="Garamond"/>
          <w:sz w:val="24"/>
          <w:szCs w:val="24"/>
          <w:lang w:val="en-GB"/>
        </w:rPr>
        <w:t>, </w:t>
      </w:r>
      <w:r w:rsidRPr="00212FC7">
        <w:rPr>
          <w:rFonts w:ascii="Garamond" w:hAnsi="Garamond"/>
          <w:i/>
          <w:iCs/>
          <w:sz w:val="24"/>
          <w:szCs w:val="24"/>
          <w:lang w:val="en-GB"/>
        </w:rPr>
        <w:t>38</w:t>
      </w:r>
      <w:r w:rsidRPr="00212FC7">
        <w:rPr>
          <w:rFonts w:ascii="Garamond" w:hAnsi="Garamond"/>
          <w:sz w:val="24"/>
          <w:szCs w:val="24"/>
          <w:lang w:val="en-GB"/>
        </w:rPr>
        <w:t>(1), 161-162.</w:t>
      </w:r>
    </w:p>
    <w:p w14:paraId="4B934C78" w14:textId="77777777" w:rsidR="00212FC7" w:rsidRPr="00212FC7" w:rsidRDefault="00212FC7" w:rsidP="00212FC7">
      <w:pPr>
        <w:pStyle w:val="Paragrafoelenco"/>
        <w:numPr>
          <w:ilvl w:val="0"/>
          <w:numId w:val="2"/>
        </w:numPr>
        <w:ind w:left="284" w:hanging="284"/>
        <w:rPr>
          <w:rFonts w:ascii="Garamond" w:hAnsi="Garamond"/>
          <w:sz w:val="24"/>
          <w:szCs w:val="24"/>
          <w:lang w:val="en-GB"/>
        </w:rPr>
      </w:pPr>
      <w:r w:rsidRPr="00212FC7">
        <w:rPr>
          <w:rFonts w:ascii="Garamond" w:hAnsi="Garamond"/>
          <w:sz w:val="24"/>
          <w:szCs w:val="24"/>
          <w:lang w:val="en-GB"/>
        </w:rPr>
        <w:t>Tovian, S. M., Rozensky, R. H., &amp; Sweet, J. J. (2003). A decade of clinical psychology in medical settings: The short longer view. </w:t>
      </w:r>
      <w:r w:rsidRPr="00212FC7">
        <w:rPr>
          <w:rFonts w:ascii="Garamond" w:hAnsi="Garamond"/>
          <w:i/>
          <w:iCs/>
          <w:sz w:val="24"/>
          <w:szCs w:val="24"/>
          <w:lang w:val="en-GB"/>
        </w:rPr>
        <w:t>Journal of Clinical Psychology in Medical Settings</w:t>
      </w:r>
      <w:r w:rsidRPr="00212FC7">
        <w:rPr>
          <w:rFonts w:ascii="Garamond" w:hAnsi="Garamond"/>
          <w:sz w:val="24"/>
          <w:szCs w:val="24"/>
          <w:lang w:val="en-GB"/>
        </w:rPr>
        <w:t>, </w:t>
      </w:r>
      <w:r w:rsidRPr="00212FC7">
        <w:rPr>
          <w:rFonts w:ascii="Garamond" w:hAnsi="Garamond"/>
          <w:i/>
          <w:iCs/>
          <w:sz w:val="24"/>
          <w:szCs w:val="24"/>
          <w:lang w:val="en-GB"/>
        </w:rPr>
        <w:t>10</w:t>
      </w:r>
      <w:r w:rsidRPr="00212FC7">
        <w:rPr>
          <w:rFonts w:ascii="Garamond" w:hAnsi="Garamond"/>
          <w:sz w:val="24"/>
          <w:szCs w:val="24"/>
          <w:lang w:val="en-GB"/>
        </w:rPr>
        <w:t>(1), 1-8.</w:t>
      </w:r>
    </w:p>
    <w:p w14:paraId="6CE981D8" w14:textId="77777777" w:rsidR="00212FC7" w:rsidRPr="00212FC7" w:rsidRDefault="00212FC7" w:rsidP="00212FC7">
      <w:pPr>
        <w:pStyle w:val="Paragrafoelenco"/>
        <w:numPr>
          <w:ilvl w:val="0"/>
          <w:numId w:val="2"/>
        </w:numPr>
        <w:ind w:left="284" w:hanging="284"/>
        <w:rPr>
          <w:rFonts w:ascii="Garamond" w:hAnsi="Garamond"/>
          <w:sz w:val="24"/>
          <w:szCs w:val="24"/>
        </w:rPr>
      </w:pPr>
      <w:r w:rsidRPr="00212FC7">
        <w:rPr>
          <w:rFonts w:ascii="Garamond" w:hAnsi="Garamond"/>
          <w:sz w:val="24"/>
          <w:szCs w:val="24"/>
          <w:lang w:val="en-GB"/>
        </w:rPr>
        <w:t>Vicario, C. M., Salehinejad, M. A., Felmingham, K., Martino, G., &amp; Nitsche, M. A. (2019). A systematic review on the therapeutic effectiveness of non-invasive brain stimulation for the treatment of anxiety disorders. </w:t>
      </w:r>
      <w:r w:rsidRPr="00212FC7">
        <w:rPr>
          <w:rFonts w:ascii="Garamond" w:hAnsi="Garamond"/>
          <w:i/>
          <w:iCs/>
          <w:sz w:val="24"/>
          <w:szCs w:val="24"/>
        </w:rPr>
        <w:t>Neuroscience &amp; Biobehavioral Reviews</w:t>
      </w:r>
      <w:r w:rsidRPr="00212FC7">
        <w:rPr>
          <w:rFonts w:ascii="Garamond" w:hAnsi="Garamond"/>
          <w:sz w:val="24"/>
          <w:szCs w:val="24"/>
        </w:rPr>
        <w:t>, </w:t>
      </w:r>
      <w:r w:rsidRPr="00212FC7">
        <w:rPr>
          <w:rFonts w:ascii="Garamond" w:hAnsi="Garamond"/>
          <w:i/>
          <w:iCs/>
          <w:sz w:val="24"/>
          <w:szCs w:val="24"/>
        </w:rPr>
        <w:t>96</w:t>
      </w:r>
      <w:r w:rsidRPr="00212FC7">
        <w:rPr>
          <w:rFonts w:ascii="Garamond" w:hAnsi="Garamond"/>
          <w:sz w:val="24"/>
          <w:szCs w:val="24"/>
        </w:rPr>
        <w:t>, 219-231.</w:t>
      </w:r>
    </w:p>
    <w:p w14:paraId="6B54AE19" w14:textId="77777777" w:rsidR="00337DE3" w:rsidRDefault="00337DE3">
      <w:pPr>
        <w:rPr>
          <w:sz w:val="28"/>
          <w:szCs w:val="28"/>
        </w:rPr>
      </w:pPr>
    </w:p>
    <w:p w14:paraId="2AA7F210" w14:textId="77777777" w:rsidR="00337DE3" w:rsidRDefault="00337DE3">
      <w:pPr>
        <w:rPr>
          <w:sz w:val="28"/>
          <w:szCs w:val="28"/>
        </w:rPr>
      </w:pPr>
    </w:p>
    <w:p w14:paraId="07FE28C2" w14:textId="77777777" w:rsidR="00337DE3" w:rsidRDefault="00337DE3">
      <w:pPr>
        <w:rPr>
          <w:sz w:val="28"/>
          <w:szCs w:val="28"/>
        </w:rPr>
      </w:pPr>
    </w:p>
    <w:p w14:paraId="7E680606" w14:textId="67AEFC92" w:rsidR="00A40D5A" w:rsidRPr="007214A9" w:rsidRDefault="00A40D5A">
      <w:pPr>
        <w:rPr>
          <w:sz w:val="28"/>
          <w:szCs w:val="28"/>
        </w:rPr>
      </w:pPr>
    </w:p>
    <w:sectPr w:rsidR="00A40D5A" w:rsidRPr="007214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A2137"/>
    <w:multiLevelType w:val="hybridMultilevel"/>
    <w:tmpl w:val="C2247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F00DDB"/>
    <w:multiLevelType w:val="hybridMultilevel"/>
    <w:tmpl w:val="6010A7C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D4D"/>
    <w:rsid w:val="00075DC4"/>
    <w:rsid w:val="00104495"/>
    <w:rsid w:val="001A12D8"/>
    <w:rsid w:val="001A5DC7"/>
    <w:rsid w:val="00212FC7"/>
    <w:rsid w:val="00303A90"/>
    <w:rsid w:val="0030426E"/>
    <w:rsid w:val="00337DE3"/>
    <w:rsid w:val="00352510"/>
    <w:rsid w:val="003850D6"/>
    <w:rsid w:val="003D5EDE"/>
    <w:rsid w:val="004345E0"/>
    <w:rsid w:val="004C762D"/>
    <w:rsid w:val="005A3D18"/>
    <w:rsid w:val="006C5E9F"/>
    <w:rsid w:val="006E6694"/>
    <w:rsid w:val="007214A9"/>
    <w:rsid w:val="00761A03"/>
    <w:rsid w:val="007A2527"/>
    <w:rsid w:val="007C589F"/>
    <w:rsid w:val="008549BE"/>
    <w:rsid w:val="00993EAC"/>
    <w:rsid w:val="009E6E31"/>
    <w:rsid w:val="00A40D5A"/>
    <w:rsid w:val="00A42437"/>
    <w:rsid w:val="00A657F9"/>
    <w:rsid w:val="00AA1D79"/>
    <w:rsid w:val="00AE0C15"/>
    <w:rsid w:val="00B45FC9"/>
    <w:rsid w:val="00BA2090"/>
    <w:rsid w:val="00CF1273"/>
    <w:rsid w:val="00D0565A"/>
    <w:rsid w:val="00D12732"/>
    <w:rsid w:val="00D62188"/>
    <w:rsid w:val="00D81D4D"/>
    <w:rsid w:val="00DD4905"/>
    <w:rsid w:val="00E63F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3D98"/>
  <w15:docId w15:val="{2815BCEB-5B1F-492F-9186-A8C88CCC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3D18"/>
    <w:pPr>
      <w:ind w:left="720"/>
      <w:contextualSpacing/>
    </w:pPr>
  </w:style>
  <w:style w:type="character" w:styleId="Collegamentoipertestuale">
    <w:name w:val="Hyperlink"/>
    <w:basedOn w:val="Carpredefinitoparagrafo"/>
    <w:uiPriority w:val="99"/>
    <w:unhideWhenUsed/>
    <w:rsid w:val="00D0565A"/>
    <w:rPr>
      <w:color w:val="0000FF" w:themeColor="hyperlink"/>
      <w:u w:val="single"/>
    </w:rPr>
  </w:style>
  <w:style w:type="character" w:styleId="Menzionenonrisolta">
    <w:name w:val="Unresolved Mention"/>
    <w:basedOn w:val="Carpredefinitoparagrafo"/>
    <w:uiPriority w:val="99"/>
    <w:semiHidden/>
    <w:unhideWhenUsed/>
    <w:rsid w:val="00D05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Pages>
  <Words>2089</Words>
  <Characters>11908</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Emanuele Maria Merlo</cp:lastModifiedBy>
  <cp:revision>21</cp:revision>
  <cp:lastPrinted>2020-07-08T08:00:00Z</cp:lastPrinted>
  <dcterms:created xsi:type="dcterms:W3CDTF">2020-07-02T06:54:00Z</dcterms:created>
  <dcterms:modified xsi:type="dcterms:W3CDTF">2020-08-08T17:46:00Z</dcterms:modified>
</cp:coreProperties>
</file>